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A1" w:rsidRDefault="008D3F3A" w:rsidP="008D3F3A">
      <w:pPr>
        <w:shd w:val="clear" w:color="auto" w:fill="FFFFFF"/>
        <w:spacing w:line="340" w:lineRule="atLeast"/>
        <w:jc w:val="center"/>
        <w:outlineLvl w:val="1"/>
        <w:rPr>
          <w:b/>
          <w:bCs/>
          <w:color w:val="000000" w:themeColor="text1"/>
        </w:rPr>
      </w:pPr>
      <w:r>
        <w:rPr>
          <w:b/>
          <w:bCs/>
          <w:color w:val="000000" w:themeColor="text1"/>
        </w:rPr>
        <w:t xml:space="preserve">Обзор обращений граждан, </w:t>
      </w:r>
    </w:p>
    <w:p w:rsidR="004D39A1" w:rsidRDefault="008D3F3A" w:rsidP="008D3F3A">
      <w:pPr>
        <w:shd w:val="clear" w:color="auto" w:fill="FFFFFF"/>
        <w:spacing w:line="340" w:lineRule="atLeast"/>
        <w:jc w:val="center"/>
        <w:outlineLvl w:val="1"/>
        <w:rPr>
          <w:b/>
          <w:bCs/>
          <w:color w:val="000000" w:themeColor="text1"/>
        </w:rPr>
      </w:pPr>
      <w:r>
        <w:rPr>
          <w:b/>
          <w:bCs/>
          <w:color w:val="000000" w:themeColor="text1"/>
        </w:rPr>
        <w:t>объединений граждан, в том числе юридических лиц, поступивших в  2018 год</w:t>
      </w:r>
      <w:r w:rsidR="001B31D5">
        <w:rPr>
          <w:b/>
          <w:bCs/>
          <w:color w:val="000000" w:themeColor="text1"/>
        </w:rPr>
        <w:t>у</w:t>
      </w:r>
      <w:r>
        <w:rPr>
          <w:b/>
          <w:bCs/>
          <w:color w:val="000000" w:themeColor="text1"/>
        </w:rPr>
        <w:t xml:space="preserve"> </w:t>
      </w:r>
    </w:p>
    <w:p w:rsidR="008D3F3A" w:rsidRDefault="008D3F3A" w:rsidP="008D3F3A">
      <w:pPr>
        <w:shd w:val="clear" w:color="auto" w:fill="FFFFFF"/>
        <w:spacing w:line="340" w:lineRule="atLeast"/>
        <w:jc w:val="center"/>
        <w:outlineLvl w:val="1"/>
        <w:rPr>
          <w:b/>
          <w:bCs/>
          <w:color w:val="000000" w:themeColor="text1"/>
        </w:rPr>
      </w:pPr>
      <w:r>
        <w:rPr>
          <w:b/>
          <w:bCs/>
          <w:color w:val="000000" w:themeColor="text1"/>
        </w:rPr>
        <w:t>в администрацию городского поселения</w:t>
      </w:r>
      <w:r w:rsidR="001B31D5">
        <w:rPr>
          <w:b/>
          <w:bCs/>
          <w:color w:val="000000" w:themeColor="text1"/>
        </w:rPr>
        <w:t xml:space="preserve"> </w:t>
      </w:r>
      <w:proofErr w:type="gramStart"/>
      <w:r>
        <w:rPr>
          <w:b/>
          <w:bCs/>
          <w:color w:val="000000" w:themeColor="text1"/>
        </w:rPr>
        <w:t>Советск</w:t>
      </w:r>
      <w:r w:rsidR="001B31D5">
        <w:rPr>
          <w:b/>
          <w:bCs/>
          <w:color w:val="000000" w:themeColor="text1"/>
        </w:rPr>
        <w:t>ий</w:t>
      </w:r>
      <w:proofErr w:type="gramEnd"/>
    </w:p>
    <w:p w:rsidR="008D3F3A" w:rsidRDefault="008D3F3A" w:rsidP="002F626B">
      <w:pPr>
        <w:ind w:firstLine="709"/>
        <w:jc w:val="both"/>
      </w:pPr>
    </w:p>
    <w:p w:rsidR="002E4958" w:rsidRDefault="002E4958" w:rsidP="002F626B">
      <w:pPr>
        <w:ind w:firstLine="709"/>
        <w:jc w:val="both"/>
      </w:pPr>
    </w:p>
    <w:p w:rsidR="00A93BC3" w:rsidRDefault="002F626B" w:rsidP="002F626B">
      <w:pPr>
        <w:ind w:firstLine="709"/>
        <w:jc w:val="both"/>
      </w:pPr>
      <w:r w:rsidRPr="002F626B">
        <w:t>За 2018 год в администрацию городского поселения Советский поступило 40</w:t>
      </w:r>
      <w:r w:rsidR="00EF348E">
        <w:t>94</w:t>
      </w:r>
      <w:r w:rsidRPr="002F626B">
        <w:t xml:space="preserve"> </w:t>
      </w:r>
      <w:r w:rsidR="00202E6B">
        <w:t xml:space="preserve">письменных и устных </w:t>
      </w:r>
      <w:r w:rsidR="00991AC8">
        <w:t xml:space="preserve">обращений граждан, что на </w:t>
      </w:r>
      <w:r w:rsidR="0072256C">
        <w:t xml:space="preserve">1098 обращений </w:t>
      </w:r>
      <w:r w:rsidR="0075437A">
        <w:t xml:space="preserve">больше по отношению к прошлому отчетному периоду </w:t>
      </w:r>
    </w:p>
    <w:p w:rsidR="00A93BC3" w:rsidRDefault="00A93BC3" w:rsidP="002F626B">
      <w:pPr>
        <w:ind w:firstLine="709"/>
        <w:jc w:val="both"/>
      </w:pPr>
    </w:p>
    <w:p w:rsidR="002F626B" w:rsidRPr="002F626B" w:rsidRDefault="00A93BC3" w:rsidP="00A93BC3">
      <w:pPr>
        <w:ind w:firstLine="709"/>
        <w:jc w:val="center"/>
      </w:pPr>
      <w:r>
        <w:t>Динамика поступивших обращений</w:t>
      </w:r>
      <w:r w:rsidR="009D18F6">
        <w:t xml:space="preserve"> </w:t>
      </w:r>
      <w:r>
        <w:t xml:space="preserve">граждан </w:t>
      </w:r>
    </w:p>
    <w:p w:rsidR="0014620B" w:rsidRPr="00A93BC3" w:rsidRDefault="00BD3235" w:rsidP="00202E6B">
      <w:pPr>
        <w:jc w:val="right"/>
        <w:rPr>
          <w:rFonts w:eastAsia="Calibri"/>
          <w:sz w:val="20"/>
          <w:szCs w:val="20"/>
        </w:rPr>
      </w:pPr>
      <w:r w:rsidRPr="00A93BC3">
        <w:rPr>
          <w:rFonts w:eastAsia="Calibri"/>
          <w:sz w:val="20"/>
          <w:szCs w:val="20"/>
        </w:rPr>
        <w:t>д</w:t>
      </w:r>
      <w:r w:rsidR="00202E6B" w:rsidRPr="00A93BC3">
        <w:rPr>
          <w:rFonts w:eastAsia="Calibri"/>
          <w:sz w:val="20"/>
          <w:szCs w:val="20"/>
        </w:rPr>
        <w:t>иаграмма 1</w:t>
      </w:r>
    </w:p>
    <w:p w:rsidR="002C2877" w:rsidRDefault="000260F3" w:rsidP="002F626B">
      <w:pPr>
        <w:ind w:firstLine="709"/>
        <w:rPr>
          <w:color w:val="FF0000"/>
        </w:rPr>
      </w:pPr>
      <w:r>
        <w:rPr>
          <w:noProof/>
          <w:color w:val="FF0000"/>
        </w:rPr>
        <w:drawing>
          <wp:inline distT="0" distB="0" distL="0" distR="0" wp14:anchorId="5B41BF90" wp14:editId="045EEF5A">
            <wp:extent cx="5057030" cy="2122999"/>
            <wp:effectExtent l="0" t="0" r="0" b="0"/>
            <wp:docPr id="119" name="Объект 1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C2877" w:rsidRDefault="0072256C" w:rsidP="0072256C">
      <w:pPr>
        <w:tabs>
          <w:tab w:val="left" w:pos="1935"/>
        </w:tabs>
        <w:ind w:firstLine="709"/>
        <w:rPr>
          <w:color w:val="FF0000"/>
        </w:rPr>
      </w:pPr>
      <w:r>
        <w:rPr>
          <w:color w:val="FF0000"/>
        </w:rPr>
        <w:tab/>
      </w:r>
    </w:p>
    <w:p w:rsidR="007765D2" w:rsidRDefault="007765D2" w:rsidP="007765D2">
      <w:pPr>
        <w:ind w:firstLine="709"/>
        <w:jc w:val="both"/>
      </w:pPr>
      <w:r w:rsidRPr="004C4177">
        <w:t xml:space="preserve">За </w:t>
      </w:r>
      <w:r w:rsidR="00495507">
        <w:t>отчетный</w:t>
      </w:r>
      <w:r w:rsidRPr="004C4177">
        <w:t xml:space="preserve"> период </w:t>
      </w:r>
      <w:r w:rsidR="00495507">
        <w:t xml:space="preserve">2018 года </w:t>
      </w:r>
      <w:r w:rsidRPr="004C4177">
        <w:t xml:space="preserve">в письменной </w:t>
      </w:r>
      <w:r w:rsidR="00202E6B" w:rsidRPr="004C4177">
        <w:t>и  устной</w:t>
      </w:r>
      <w:r w:rsidR="00202E6B" w:rsidRPr="00202E6B">
        <w:t xml:space="preserve"> </w:t>
      </w:r>
      <w:r w:rsidR="00202E6B" w:rsidRPr="004C4177">
        <w:t>форме</w:t>
      </w:r>
      <w:r w:rsidRPr="004C4177">
        <w:t>,</w:t>
      </w:r>
      <w:r w:rsidR="00202E6B">
        <w:t xml:space="preserve"> а также </w:t>
      </w:r>
      <w:r w:rsidRPr="004C4177">
        <w:t xml:space="preserve">в форме электронного документа задано 4094 вопросов по </w:t>
      </w:r>
      <w:r w:rsidR="00686F44">
        <w:t xml:space="preserve">следующим </w:t>
      </w:r>
      <w:r w:rsidRPr="004C4177">
        <w:t>тематическим разделам</w:t>
      </w:r>
      <w:r w:rsidR="00202E6B">
        <w:t xml:space="preserve"> (диаграмма 2)</w:t>
      </w:r>
      <w:r w:rsidR="00237CE3">
        <w:t>.</w:t>
      </w:r>
    </w:p>
    <w:p w:rsidR="00642624" w:rsidRDefault="00642624" w:rsidP="007765D2">
      <w:pPr>
        <w:ind w:firstLine="709"/>
        <w:jc w:val="both"/>
      </w:pPr>
      <w:bookmarkStart w:id="0" w:name="_GoBack"/>
      <w:bookmarkEnd w:id="0"/>
    </w:p>
    <w:p w:rsidR="00415F4D" w:rsidRPr="00A93BC3" w:rsidRDefault="00BD3235" w:rsidP="00415F4D">
      <w:pPr>
        <w:ind w:firstLine="709"/>
        <w:jc w:val="right"/>
        <w:rPr>
          <w:sz w:val="20"/>
          <w:szCs w:val="20"/>
        </w:rPr>
      </w:pPr>
      <w:r w:rsidRPr="00A93BC3">
        <w:rPr>
          <w:sz w:val="20"/>
          <w:szCs w:val="20"/>
        </w:rPr>
        <w:t>д</w:t>
      </w:r>
      <w:r w:rsidR="00415F4D" w:rsidRPr="00A93BC3">
        <w:rPr>
          <w:sz w:val="20"/>
          <w:szCs w:val="20"/>
        </w:rPr>
        <w:t>иаграмма 2</w:t>
      </w:r>
    </w:p>
    <w:p w:rsidR="007765D2" w:rsidRDefault="000D6B43" w:rsidP="002F626B">
      <w:pPr>
        <w:ind w:firstLine="709"/>
        <w:jc w:val="both"/>
        <w:rPr>
          <w:color w:val="FF0000"/>
        </w:rPr>
      </w:pPr>
      <w:r>
        <w:rPr>
          <w:noProof/>
          <w:color w:val="FF0000"/>
        </w:rPr>
        <w:drawing>
          <wp:inline distT="0" distB="0" distL="0" distR="0" wp14:anchorId="56D1D4B2" wp14:editId="4AD9A40E">
            <wp:extent cx="5408762" cy="2156604"/>
            <wp:effectExtent l="0" t="0" r="190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81165" w:rsidRDefault="00237CE3" w:rsidP="00181165">
      <w:pPr>
        <w:ind w:firstLine="709"/>
        <w:jc w:val="both"/>
      </w:pPr>
      <w:r w:rsidRPr="00237CE3">
        <w:t>Среди тематических разделов по количеству обращений преобладал раздел экономики, в основном по вопросам архитектуры, градостроительства и землепользования</w:t>
      </w:r>
      <w:r>
        <w:t xml:space="preserve">, </w:t>
      </w:r>
      <w:r w:rsidR="00495507">
        <w:t xml:space="preserve">а также </w:t>
      </w:r>
      <w:r w:rsidR="00C91820">
        <w:t xml:space="preserve">вопросы </w:t>
      </w:r>
      <w:r w:rsidR="00AB2892">
        <w:t>строительства,</w:t>
      </w:r>
      <w:r w:rsidR="00C91820">
        <w:t xml:space="preserve"> ремонта </w:t>
      </w:r>
      <w:r w:rsidR="00AB2892">
        <w:t xml:space="preserve">и благоустройства </w:t>
      </w:r>
      <w:r w:rsidR="00C91820">
        <w:t>дорог, установки дорожных знаков</w:t>
      </w:r>
      <w:r w:rsidR="00AB2892">
        <w:t xml:space="preserve">, освещения улиц города. </w:t>
      </w:r>
      <w:r w:rsidR="00181165">
        <w:t>В данном разделе рост количества обращений граждан произошел в основном вследствие проведения следующих мероприятий:</w:t>
      </w:r>
    </w:p>
    <w:p w:rsidR="00181165" w:rsidRDefault="00181165" w:rsidP="00181165">
      <w:pPr>
        <w:ind w:firstLine="567"/>
        <w:jc w:val="both"/>
      </w:pPr>
      <w:r>
        <w:t>- в результате раздела земельного участка выделенного под садово-огородническое товарищество были образованы новые земельные участки и поставлены на кадастровый учет, в результате чего у граждан появилась возможность оформить правоустанавливающие документы и присвоение адресного хозяйства на каждый земельный участок;</w:t>
      </w:r>
    </w:p>
    <w:p w:rsidR="00181165" w:rsidRDefault="00181165" w:rsidP="00181165">
      <w:pPr>
        <w:ind w:firstLine="567"/>
        <w:jc w:val="both"/>
      </w:pPr>
      <w:r>
        <w:tab/>
        <w:t xml:space="preserve">- в целях увеличения доходной части бюджета городского поселения </w:t>
      </w:r>
      <w:proofErr w:type="gramStart"/>
      <w:r>
        <w:t>Советский</w:t>
      </w:r>
      <w:proofErr w:type="gramEnd"/>
      <w:r>
        <w:t xml:space="preserve"> проводились мероприятия по приведению в соответствие использования земельных участков гражданами, на которых расположены гаражи;</w:t>
      </w:r>
    </w:p>
    <w:p w:rsidR="00181165" w:rsidRDefault="00181165" w:rsidP="00181165">
      <w:pPr>
        <w:ind w:firstLine="567"/>
        <w:jc w:val="both"/>
      </w:pPr>
      <w:proofErr w:type="gramStart"/>
      <w:r>
        <w:lastRenderedPageBreak/>
        <w:t>- во избежание снятия с кадастрового учета ранее учтенных земельных участков сведения о правах, на которые отсутствуют в Едином государственном реестре недвижимости, а также в целях надлежащего оформления правоустанавливающих документов на использование земельных участков гражданам направлялись уведомления, по результатам которых поступали обращения за предоставлением услуги по оформлению вышеуказанных земельных участков (постановка на кадастровый учет земельного участка, заключение договоров аренды земельных участков</w:t>
      </w:r>
      <w:proofErr w:type="gramEnd"/>
      <w:r>
        <w:t xml:space="preserve">, заключение договоров купли-продажи земельных участков); </w:t>
      </w:r>
    </w:p>
    <w:p w:rsidR="00181165" w:rsidRDefault="00181165" w:rsidP="00181165">
      <w:pPr>
        <w:ind w:firstLine="709"/>
        <w:jc w:val="both"/>
      </w:pPr>
      <w:r>
        <w:t xml:space="preserve">- упорядочивание адресного хозяйства и приведение в соответствие с классификатором видов разрешенного использования земельных участков и объектов капитального строительства. </w:t>
      </w:r>
    </w:p>
    <w:p w:rsidR="00BD7DDA" w:rsidRDefault="00237CE3" w:rsidP="00237CE3">
      <w:pPr>
        <w:ind w:firstLine="709"/>
        <w:jc w:val="both"/>
      </w:pPr>
      <w:r w:rsidRPr="000D6B43">
        <w:t xml:space="preserve">Немалую часть в обращениях граждан занимают вопросы жилищно-коммунальной сферы. </w:t>
      </w:r>
      <w:r w:rsidRPr="00237CE3">
        <w:t>Большая часть</w:t>
      </w:r>
      <w:r w:rsidR="00495507">
        <w:t xml:space="preserve"> из них</w:t>
      </w:r>
      <w:r w:rsidRPr="00237CE3">
        <w:t>, это вопросы обеспечения граждан жильем, улучшение жилищных условий, предоставление информации о сроках расселения из жилых домов признан</w:t>
      </w:r>
      <w:r w:rsidR="00417681">
        <w:t xml:space="preserve">ных непригодными для проживания, а также вопросы </w:t>
      </w:r>
      <w:r w:rsidR="00417681" w:rsidRPr="00C91820">
        <w:t>водоотведения, борьба с антисанитарией и уборкой мусора, бездействие управляющих организаций, товариществ собственников жилья</w:t>
      </w:r>
      <w:r w:rsidR="00C91820" w:rsidRPr="00C91820">
        <w:t>, о порядке расчета платы</w:t>
      </w:r>
      <w:r w:rsidR="00215692">
        <w:t xml:space="preserve"> за жилищно-коммунальные услуги.</w:t>
      </w:r>
    </w:p>
    <w:p w:rsidR="00215692" w:rsidRPr="00BD2FC1" w:rsidRDefault="00215692" w:rsidP="00BD2FC1">
      <w:pPr>
        <w:ind w:firstLine="709"/>
        <w:jc w:val="both"/>
      </w:pPr>
      <w:r>
        <w:t xml:space="preserve">В разделе социальной сферы рост количества обращений произошел </w:t>
      </w:r>
      <w:proofErr w:type="gramStart"/>
      <w:r>
        <w:t xml:space="preserve">за счет увеличения обращений по </w:t>
      </w:r>
      <w:r w:rsidR="00DB429C">
        <w:t xml:space="preserve">постановке на учет для </w:t>
      </w:r>
      <w:r>
        <w:t>п</w:t>
      </w:r>
      <w:r w:rsidRPr="00BD2FC1">
        <w:t>редоставлени</w:t>
      </w:r>
      <w:r w:rsidR="00DB429C">
        <w:t>я</w:t>
      </w:r>
      <w:r w:rsidRPr="00BD2FC1">
        <w:t xml:space="preserve"> льгот</w:t>
      </w:r>
      <w:r w:rsidR="00DB429C">
        <w:t xml:space="preserve">ной категории </w:t>
      </w:r>
      <w:r w:rsidRPr="00BD2FC1">
        <w:t>граждан земельных</w:t>
      </w:r>
      <w:r w:rsidR="00DB429C">
        <w:t xml:space="preserve"> </w:t>
      </w:r>
      <w:r w:rsidRPr="00BD2FC1">
        <w:t xml:space="preserve">участков </w:t>
      </w:r>
      <w:r w:rsidR="00DB429C">
        <w:t>под индивидуальное жилищное строительство</w:t>
      </w:r>
      <w:proofErr w:type="gramEnd"/>
      <w:r w:rsidR="00DB429C">
        <w:t>, ведения садоводства</w:t>
      </w:r>
    </w:p>
    <w:p w:rsidR="00A93BC3" w:rsidRDefault="00A93BC3" w:rsidP="00EC46A5">
      <w:pPr>
        <w:ind w:firstLine="709"/>
        <w:jc w:val="both"/>
      </w:pPr>
    </w:p>
    <w:p w:rsidR="004D39A1" w:rsidRDefault="00121AF4" w:rsidP="00A93BC3">
      <w:pPr>
        <w:ind w:firstLine="709"/>
        <w:jc w:val="center"/>
      </w:pPr>
      <w:r>
        <w:t>Количество п</w:t>
      </w:r>
      <w:r w:rsidR="00EC46A5" w:rsidRPr="0014620B">
        <w:t>оступивши</w:t>
      </w:r>
      <w:r>
        <w:t>х обращений</w:t>
      </w:r>
      <w:r w:rsidR="00EC46A5" w:rsidRPr="0014620B">
        <w:t xml:space="preserve"> </w:t>
      </w:r>
    </w:p>
    <w:p w:rsidR="00EC46A5" w:rsidRPr="0014620B" w:rsidRDefault="00EC46A5" w:rsidP="00A93BC3">
      <w:pPr>
        <w:ind w:firstLine="709"/>
        <w:jc w:val="center"/>
      </w:pPr>
      <w:r w:rsidRPr="0014620B">
        <w:t>за 2016 и 2017</w:t>
      </w:r>
      <w:r w:rsidR="00A93BC3">
        <w:t xml:space="preserve"> </w:t>
      </w:r>
      <w:r>
        <w:t>г</w:t>
      </w:r>
      <w:r w:rsidR="00A93BC3">
        <w:t>од</w:t>
      </w:r>
      <w:r w:rsidR="004D39A1">
        <w:t xml:space="preserve"> по</w:t>
      </w:r>
      <w:r w:rsidRPr="0014620B">
        <w:t xml:space="preserve"> тематическим разделам</w:t>
      </w:r>
    </w:p>
    <w:p w:rsidR="00237CE3" w:rsidRDefault="00A93BC3" w:rsidP="00A93BC3">
      <w:pPr>
        <w:tabs>
          <w:tab w:val="left" w:pos="9088"/>
          <w:tab w:val="right" w:pos="9899"/>
        </w:tabs>
        <w:ind w:firstLine="709"/>
        <w:rPr>
          <w:sz w:val="22"/>
          <w:szCs w:val="22"/>
        </w:rPr>
      </w:pPr>
      <w:r>
        <w:rPr>
          <w:sz w:val="22"/>
          <w:szCs w:val="22"/>
        </w:rPr>
        <w:tab/>
        <w:t>табл.1</w:t>
      </w:r>
    </w:p>
    <w:tbl>
      <w:tblPr>
        <w:tblStyle w:val="a5"/>
        <w:tblW w:w="0" w:type="auto"/>
        <w:tblInd w:w="392" w:type="dxa"/>
        <w:tblLook w:val="04A0" w:firstRow="1" w:lastRow="0" w:firstColumn="1" w:lastColumn="0" w:noHBand="0" w:noVBand="1"/>
      </w:tblPr>
      <w:tblGrid>
        <w:gridCol w:w="5276"/>
        <w:gridCol w:w="2268"/>
        <w:gridCol w:w="1984"/>
      </w:tblGrid>
      <w:tr w:rsidR="00EC46A5" w:rsidRPr="00686F44" w:rsidTr="00202E6B">
        <w:trPr>
          <w:trHeight w:val="415"/>
        </w:trPr>
        <w:tc>
          <w:tcPr>
            <w:tcW w:w="5276" w:type="dxa"/>
          </w:tcPr>
          <w:p w:rsidR="00EC46A5" w:rsidRPr="00686F44" w:rsidRDefault="00EC46A5" w:rsidP="005A4E09">
            <w:pPr>
              <w:rPr>
                <w:b/>
              </w:rPr>
            </w:pPr>
            <w:r w:rsidRPr="00686F44">
              <w:rPr>
                <w:b/>
              </w:rPr>
              <w:t>Тематические разделы</w:t>
            </w:r>
          </w:p>
        </w:tc>
        <w:tc>
          <w:tcPr>
            <w:tcW w:w="2268" w:type="dxa"/>
          </w:tcPr>
          <w:p w:rsidR="00EC46A5" w:rsidRPr="00686F44" w:rsidRDefault="00EC46A5" w:rsidP="005A4E09">
            <w:pPr>
              <w:jc w:val="center"/>
              <w:rPr>
                <w:b/>
              </w:rPr>
            </w:pPr>
            <w:r w:rsidRPr="00686F44">
              <w:rPr>
                <w:b/>
              </w:rPr>
              <w:t>2016 год</w:t>
            </w:r>
          </w:p>
        </w:tc>
        <w:tc>
          <w:tcPr>
            <w:tcW w:w="1984" w:type="dxa"/>
          </w:tcPr>
          <w:p w:rsidR="00EC46A5" w:rsidRPr="00686F44" w:rsidRDefault="00EC46A5" w:rsidP="005A4E09">
            <w:pPr>
              <w:jc w:val="center"/>
              <w:rPr>
                <w:b/>
              </w:rPr>
            </w:pPr>
            <w:r w:rsidRPr="00686F44">
              <w:rPr>
                <w:b/>
              </w:rPr>
              <w:t>2017 год</w:t>
            </w:r>
          </w:p>
        </w:tc>
      </w:tr>
      <w:tr w:rsidR="00EC46A5" w:rsidRPr="00686F44" w:rsidTr="00202E6B">
        <w:tc>
          <w:tcPr>
            <w:tcW w:w="5276" w:type="dxa"/>
          </w:tcPr>
          <w:p w:rsidR="00EC46A5" w:rsidRPr="00686F44" w:rsidRDefault="00EC46A5" w:rsidP="005A4E09">
            <w:r w:rsidRPr="00686F44">
              <w:t xml:space="preserve">Экономика </w:t>
            </w:r>
          </w:p>
        </w:tc>
        <w:tc>
          <w:tcPr>
            <w:tcW w:w="2268" w:type="dxa"/>
          </w:tcPr>
          <w:p w:rsidR="00EC46A5" w:rsidRPr="00686F44" w:rsidRDefault="00EC46A5" w:rsidP="005A4E09">
            <w:pPr>
              <w:jc w:val="right"/>
            </w:pPr>
            <w:r>
              <w:t>1339 (44,9%)</w:t>
            </w:r>
          </w:p>
        </w:tc>
        <w:tc>
          <w:tcPr>
            <w:tcW w:w="1984" w:type="dxa"/>
          </w:tcPr>
          <w:p w:rsidR="00EC46A5" w:rsidRPr="0014620B" w:rsidRDefault="00EC46A5" w:rsidP="005A4E09">
            <w:pPr>
              <w:jc w:val="right"/>
            </w:pPr>
            <w:r w:rsidRPr="0014620B">
              <w:rPr>
                <w:rFonts w:eastAsia="Calibri"/>
              </w:rPr>
              <w:t>1840 (61,4%)</w:t>
            </w:r>
          </w:p>
        </w:tc>
      </w:tr>
      <w:tr w:rsidR="00EC46A5" w:rsidRPr="00686F44" w:rsidTr="00202E6B">
        <w:tc>
          <w:tcPr>
            <w:tcW w:w="5276" w:type="dxa"/>
          </w:tcPr>
          <w:p w:rsidR="00EC46A5" w:rsidRPr="00686F44" w:rsidRDefault="00EC46A5" w:rsidP="005A4E09">
            <w:r w:rsidRPr="00686F44">
              <w:t>Жилищно-коммунальная сфера</w:t>
            </w:r>
          </w:p>
        </w:tc>
        <w:tc>
          <w:tcPr>
            <w:tcW w:w="2268" w:type="dxa"/>
          </w:tcPr>
          <w:p w:rsidR="00EC46A5" w:rsidRPr="00686F44" w:rsidRDefault="00EC46A5" w:rsidP="005A4E09">
            <w:pPr>
              <w:jc w:val="right"/>
            </w:pPr>
            <w:r>
              <w:t>1597 (53,2%)</w:t>
            </w:r>
          </w:p>
        </w:tc>
        <w:tc>
          <w:tcPr>
            <w:tcW w:w="1984" w:type="dxa"/>
          </w:tcPr>
          <w:p w:rsidR="00EC46A5" w:rsidRPr="0014620B" w:rsidRDefault="00EC46A5" w:rsidP="005A4E09">
            <w:pPr>
              <w:jc w:val="right"/>
            </w:pPr>
            <w:r w:rsidRPr="0014620B">
              <w:rPr>
                <w:rFonts w:eastAsia="Calibri"/>
              </w:rPr>
              <w:t>1093 (36,5%)</w:t>
            </w:r>
          </w:p>
        </w:tc>
      </w:tr>
      <w:tr w:rsidR="00EC46A5" w:rsidRPr="00686F44" w:rsidTr="00202E6B">
        <w:tc>
          <w:tcPr>
            <w:tcW w:w="5276" w:type="dxa"/>
          </w:tcPr>
          <w:p w:rsidR="00EC46A5" w:rsidRPr="00686F44" w:rsidRDefault="00EC46A5" w:rsidP="005A4E09">
            <w:r w:rsidRPr="00686F44">
              <w:t xml:space="preserve">Социальная сфера </w:t>
            </w:r>
          </w:p>
        </w:tc>
        <w:tc>
          <w:tcPr>
            <w:tcW w:w="2268" w:type="dxa"/>
          </w:tcPr>
          <w:p w:rsidR="00EC46A5" w:rsidRPr="00686F44" w:rsidRDefault="00EC46A5" w:rsidP="005A4E09">
            <w:pPr>
              <w:jc w:val="right"/>
            </w:pPr>
            <w:r>
              <w:t>41 (1,4%)</w:t>
            </w:r>
          </w:p>
        </w:tc>
        <w:tc>
          <w:tcPr>
            <w:tcW w:w="1984" w:type="dxa"/>
          </w:tcPr>
          <w:p w:rsidR="00EC46A5" w:rsidRPr="0014620B" w:rsidRDefault="00EC46A5" w:rsidP="005A4E09">
            <w:pPr>
              <w:jc w:val="right"/>
            </w:pPr>
            <w:r w:rsidRPr="0014620B">
              <w:t xml:space="preserve"> 21 (0,7%)</w:t>
            </w:r>
          </w:p>
        </w:tc>
      </w:tr>
      <w:tr w:rsidR="00EC46A5" w:rsidRPr="00686F44" w:rsidTr="00202E6B">
        <w:tc>
          <w:tcPr>
            <w:tcW w:w="5276" w:type="dxa"/>
          </w:tcPr>
          <w:p w:rsidR="00EC46A5" w:rsidRPr="00686F44" w:rsidRDefault="00EC46A5" w:rsidP="005A4E09">
            <w:r w:rsidRPr="00686F44">
              <w:rPr>
                <w:rFonts w:eastAsia="Calibri"/>
              </w:rPr>
              <w:t xml:space="preserve">Оборона, безопасность, законность </w:t>
            </w:r>
          </w:p>
        </w:tc>
        <w:tc>
          <w:tcPr>
            <w:tcW w:w="2268" w:type="dxa"/>
          </w:tcPr>
          <w:p w:rsidR="00EC46A5" w:rsidRPr="00686F44" w:rsidRDefault="00EC46A5" w:rsidP="005A4E09">
            <w:pPr>
              <w:jc w:val="right"/>
            </w:pPr>
            <w:r>
              <w:t>7 (0,2%)</w:t>
            </w:r>
          </w:p>
        </w:tc>
        <w:tc>
          <w:tcPr>
            <w:tcW w:w="1984" w:type="dxa"/>
          </w:tcPr>
          <w:p w:rsidR="00EC46A5" w:rsidRPr="0014620B" w:rsidRDefault="00EC46A5" w:rsidP="005A4E09">
            <w:pPr>
              <w:jc w:val="right"/>
            </w:pPr>
            <w:r w:rsidRPr="0014620B">
              <w:rPr>
                <w:rFonts w:eastAsia="Calibri"/>
              </w:rPr>
              <w:t xml:space="preserve"> 8 (0,3%)</w:t>
            </w:r>
          </w:p>
        </w:tc>
      </w:tr>
      <w:tr w:rsidR="00EC46A5" w:rsidRPr="00686F44" w:rsidTr="00202E6B">
        <w:tc>
          <w:tcPr>
            <w:tcW w:w="5276" w:type="dxa"/>
          </w:tcPr>
          <w:p w:rsidR="00EC46A5" w:rsidRPr="00686F44" w:rsidRDefault="00EC46A5" w:rsidP="005A4E09">
            <w:r w:rsidRPr="00686F44">
              <w:rPr>
                <w:rFonts w:eastAsia="Calibri"/>
              </w:rPr>
              <w:t xml:space="preserve">Государство, общество, политика </w:t>
            </w:r>
          </w:p>
        </w:tc>
        <w:tc>
          <w:tcPr>
            <w:tcW w:w="2268" w:type="dxa"/>
          </w:tcPr>
          <w:p w:rsidR="00EC46A5" w:rsidRPr="00686F44" w:rsidRDefault="00EC46A5" w:rsidP="005A4E09">
            <w:pPr>
              <w:jc w:val="right"/>
            </w:pPr>
            <w:r>
              <w:t>1 (003%)</w:t>
            </w:r>
          </w:p>
        </w:tc>
        <w:tc>
          <w:tcPr>
            <w:tcW w:w="1984" w:type="dxa"/>
          </w:tcPr>
          <w:p w:rsidR="00EC46A5" w:rsidRPr="0014620B" w:rsidRDefault="00EC46A5" w:rsidP="005A4E09">
            <w:pPr>
              <w:jc w:val="right"/>
            </w:pPr>
            <w:r w:rsidRPr="0014620B">
              <w:rPr>
                <w:rFonts w:eastAsia="Calibri"/>
              </w:rPr>
              <w:t>34 (1,1%)</w:t>
            </w:r>
          </w:p>
        </w:tc>
      </w:tr>
    </w:tbl>
    <w:p w:rsidR="00547D22" w:rsidRDefault="00547D22" w:rsidP="00547D22">
      <w:pPr>
        <w:ind w:firstLine="709"/>
        <w:jc w:val="both"/>
      </w:pPr>
    </w:p>
    <w:p w:rsidR="00BD3235" w:rsidRDefault="00547D22" w:rsidP="002F626B">
      <w:pPr>
        <w:ind w:firstLine="709"/>
        <w:jc w:val="both"/>
        <w:rPr>
          <w:b/>
        </w:rPr>
      </w:pPr>
      <w:r w:rsidRPr="007765D2">
        <w:t>Количество коллективных обращений, снизилось по сравнению с аналогичным периодом прошлого года, поступило 22 обращения или 0,5% от общего числа обращений (2017 год</w:t>
      </w:r>
      <w:r>
        <w:t xml:space="preserve"> </w:t>
      </w:r>
      <w:r w:rsidRPr="007765D2">
        <w:t>-</w:t>
      </w:r>
      <w:r>
        <w:t xml:space="preserve"> </w:t>
      </w:r>
      <w:r w:rsidRPr="007765D2">
        <w:t xml:space="preserve">42 обращения или 1,4% от общего числа, 2016 год – 45 обращений или 1,6% от общего числа). </w:t>
      </w:r>
      <w:r w:rsidR="009D18F6">
        <w:t xml:space="preserve"> </w:t>
      </w:r>
    </w:p>
    <w:p w:rsidR="004D39A1" w:rsidRDefault="004D39A1" w:rsidP="008A2D4F">
      <w:pPr>
        <w:ind w:firstLine="709"/>
        <w:jc w:val="both"/>
      </w:pPr>
      <w:r>
        <w:t>Организация личных приемов граждан.</w:t>
      </w:r>
    </w:p>
    <w:p w:rsidR="004D39A1" w:rsidRDefault="004D39A1" w:rsidP="008A2D4F">
      <w:pPr>
        <w:ind w:firstLine="709"/>
        <w:jc w:val="both"/>
      </w:pPr>
      <w:r>
        <w:t>Г</w:t>
      </w:r>
      <w:r w:rsidR="002F626B" w:rsidRPr="008A2D4F">
        <w:t>лавой городского поселения Советский</w:t>
      </w:r>
      <w:r w:rsidR="008A2D4F" w:rsidRPr="008A2D4F">
        <w:t xml:space="preserve"> проведено 14  приемов граждан</w:t>
      </w:r>
      <w:r>
        <w:t>,</w:t>
      </w:r>
      <w:r w:rsidR="008A2D4F" w:rsidRPr="008A2D4F">
        <w:t xml:space="preserve"> на которых </w:t>
      </w:r>
      <w:r w:rsidR="002F626B" w:rsidRPr="008A2D4F">
        <w:t xml:space="preserve">принято </w:t>
      </w:r>
      <w:r w:rsidR="008A2D4F" w:rsidRPr="008A2D4F">
        <w:t>56 человек.</w:t>
      </w:r>
      <w:r w:rsidR="00F64283">
        <w:t xml:space="preserve"> </w:t>
      </w:r>
      <w:r w:rsidR="00F64283" w:rsidRPr="00F64283">
        <w:t>П</w:t>
      </w:r>
      <w:r w:rsidR="002F626B" w:rsidRPr="00F64283">
        <w:t>о всем обращениям даны конкретные поручения и разъяснения, при необходимости авторы информ</w:t>
      </w:r>
      <w:r w:rsidR="00BD3235" w:rsidRPr="00F64283">
        <w:t>ированы о результатах письменно</w:t>
      </w:r>
      <w:r>
        <w:t>.</w:t>
      </w:r>
    </w:p>
    <w:p w:rsidR="004D39A1" w:rsidRDefault="00BD3235" w:rsidP="008A2D4F">
      <w:pPr>
        <w:ind w:firstLine="709"/>
        <w:jc w:val="both"/>
      </w:pPr>
      <w:r w:rsidRPr="00F64283">
        <w:t xml:space="preserve"> </w:t>
      </w:r>
      <w:r w:rsidR="002F626B" w:rsidRPr="00F64283">
        <w:t xml:space="preserve"> </w:t>
      </w:r>
    </w:p>
    <w:p w:rsidR="00DD3192" w:rsidRDefault="004D39A1" w:rsidP="00DD3192">
      <w:pPr>
        <w:ind w:firstLine="709"/>
        <w:jc w:val="center"/>
      </w:pPr>
      <w:r>
        <w:t>Д</w:t>
      </w:r>
      <w:r w:rsidR="00BD3235" w:rsidRPr="00BD3235">
        <w:t>инамика</w:t>
      </w:r>
      <w:r w:rsidR="009D18F6">
        <w:t xml:space="preserve"> количества обращений граждан на личном приеме</w:t>
      </w:r>
    </w:p>
    <w:p w:rsidR="00417681" w:rsidRDefault="00BD3235" w:rsidP="00DD3192">
      <w:pPr>
        <w:ind w:firstLine="709"/>
        <w:jc w:val="center"/>
      </w:pPr>
      <w:r w:rsidRPr="00BD3235">
        <w:t>в сравнении с предыдущими аналогичными периодами 2016-2017гг</w:t>
      </w:r>
    </w:p>
    <w:p w:rsidR="00BD3235" w:rsidRPr="00A93BC3" w:rsidRDefault="004D39A1" w:rsidP="00BD3235">
      <w:pPr>
        <w:ind w:firstLine="709"/>
        <w:jc w:val="right"/>
        <w:rPr>
          <w:sz w:val="20"/>
          <w:szCs w:val="20"/>
        </w:rPr>
      </w:pPr>
      <w:r>
        <w:rPr>
          <w:sz w:val="20"/>
          <w:szCs w:val="20"/>
        </w:rPr>
        <w:t>т</w:t>
      </w:r>
      <w:r w:rsidR="00BD3235" w:rsidRPr="00A93BC3">
        <w:rPr>
          <w:sz w:val="20"/>
          <w:szCs w:val="20"/>
        </w:rPr>
        <w:t>абл</w:t>
      </w:r>
      <w:r>
        <w:rPr>
          <w:sz w:val="20"/>
          <w:szCs w:val="20"/>
        </w:rPr>
        <w:t>.</w:t>
      </w:r>
      <w:r w:rsidR="00BD3235" w:rsidRPr="00A93BC3">
        <w:rPr>
          <w:sz w:val="20"/>
          <w:szCs w:val="20"/>
        </w:rPr>
        <w:t xml:space="preserve"> 2   </w:t>
      </w:r>
    </w:p>
    <w:tbl>
      <w:tblPr>
        <w:tblStyle w:val="a5"/>
        <w:tblW w:w="0" w:type="auto"/>
        <w:tblInd w:w="433" w:type="dxa"/>
        <w:tblLook w:val="04A0" w:firstRow="1" w:lastRow="0" w:firstColumn="1" w:lastColumn="0" w:noHBand="0" w:noVBand="1"/>
      </w:tblPr>
      <w:tblGrid>
        <w:gridCol w:w="3077"/>
        <w:gridCol w:w="1103"/>
        <w:gridCol w:w="1077"/>
        <w:gridCol w:w="1102"/>
        <w:gridCol w:w="1077"/>
        <w:gridCol w:w="1085"/>
        <w:gridCol w:w="1102"/>
      </w:tblGrid>
      <w:tr w:rsidR="00F969CA" w:rsidRPr="00F969CA" w:rsidTr="00AF7935">
        <w:tc>
          <w:tcPr>
            <w:tcW w:w="3077" w:type="dxa"/>
            <w:vMerge w:val="restart"/>
          </w:tcPr>
          <w:p w:rsidR="00F969CA" w:rsidRPr="00F969CA" w:rsidRDefault="00F969CA" w:rsidP="002F626B">
            <w:pPr>
              <w:jc w:val="center"/>
            </w:pPr>
            <w:r w:rsidRPr="00F969CA">
              <w:t>Итог и состояние исполнения</w:t>
            </w:r>
          </w:p>
        </w:tc>
        <w:tc>
          <w:tcPr>
            <w:tcW w:w="2180" w:type="dxa"/>
            <w:gridSpan w:val="2"/>
          </w:tcPr>
          <w:p w:rsidR="00F969CA" w:rsidRPr="00F969CA" w:rsidRDefault="00F969CA" w:rsidP="002F626B">
            <w:pPr>
              <w:jc w:val="center"/>
              <w:rPr>
                <w:b/>
              </w:rPr>
            </w:pPr>
            <w:r w:rsidRPr="00F969CA">
              <w:rPr>
                <w:b/>
              </w:rPr>
              <w:t>2016</w:t>
            </w:r>
          </w:p>
        </w:tc>
        <w:tc>
          <w:tcPr>
            <w:tcW w:w="2179" w:type="dxa"/>
            <w:gridSpan w:val="2"/>
          </w:tcPr>
          <w:p w:rsidR="00F969CA" w:rsidRPr="00F969CA" w:rsidRDefault="00F969CA" w:rsidP="002F626B">
            <w:pPr>
              <w:jc w:val="center"/>
              <w:rPr>
                <w:b/>
              </w:rPr>
            </w:pPr>
            <w:r w:rsidRPr="00F969CA">
              <w:rPr>
                <w:b/>
              </w:rPr>
              <w:t>2017</w:t>
            </w:r>
          </w:p>
        </w:tc>
        <w:tc>
          <w:tcPr>
            <w:tcW w:w="2187" w:type="dxa"/>
            <w:gridSpan w:val="2"/>
          </w:tcPr>
          <w:p w:rsidR="00F969CA" w:rsidRPr="00F969CA" w:rsidRDefault="00F969CA" w:rsidP="002F626B">
            <w:pPr>
              <w:jc w:val="center"/>
              <w:rPr>
                <w:b/>
              </w:rPr>
            </w:pPr>
            <w:r w:rsidRPr="00F969CA">
              <w:rPr>
                <w:b/>
              </w:rPr>
              <w:t>2018</w:t>
            </w:r>
          </w:p>
        </w:tc>
      </w:tr>
      <w:tr w:rsidR="00F969CA" w:rsidRPr="00F969CA" w:rsidTr="00AF7935">
        <w:tc>
          <w:tcPr>
            <w:tcW w:w="3077" w:type="dxa"/>
            <w:vMerge/>
          </w:tcPr>
          <w:p w:rsidR="00F969CA" w:rsidRPr="00F969CA" w:rsidRDefault="00F969CA" w:rsidP="002F626B">
            <w:pPr>
              <w:jc w:val="center"/>
            </w:pPr>
          </w:p>
        </w:tc>
        <w:tc>
          <w:tcPr>
            <w:tcW w:w="1103" w:type="dxa"/>
          </w:tcPr>
          <w:p w:rsidR="00F969CA" w:rsidRPr="00F969CA" w:rsidRDefault="00F969CA" w:rsidP="002F626B">
            <w:pPr>
              <w:jc w:val="center"/>
            </w:pPr>
            <w:r w:rsidRPr="00F969CA">
              <w:t>Кол-во приемов</w:t>
            </w:r>
          </w:p>
        </w:tc>
        <w:tc>
          <w:tcPr>
            <w:tcW w:w="1077" w:type="dxa"/>
          </w:tcPr>
          <w:p w:rsidR="00F969CA" w:rsidRPr="00F969CA" w:rsidRDefault="00F969CA" w:rsidP="002F626B">
            <w:pPr>
              <w:jc w:val="center"/>
            </w:pPr>
            <w:r w:rsidRPr="00F969CA">
              <w:t>Кол-во человек</w:t>
            </w:r>
          </w:p>
        </w:tc>
        <w:tc>
          <w:tcPr>
            <w:tcW w:w="1102" w:type="dxa"/>
          </w:tcPr>
          <w:p w:rsidR="00F969CA" w:rsidRPr="00F969CA" w:rsidRDefault="00F969CA" w:rsidP="002F626B">
            <w:pPr>
              <w:jc w:val="center"/>
            </w:pPr>
            <w:r w:rsidRPr="00F969CA">
              <w:t>Кол-во приемов</w:t>
            </w:r>
          </w:p>
        </w:tc>
        <w:tc>
          <w:tcPr>
            <w:tcW w:w="1077" w:type="dxa"/>
          </w:tcPr>
          <w:p w:rsidR="00F969CA" w:rsidRPr="00F969CA" w:rsidRDefault="00F969CA" w:rsidP="002F626B">
            <w:pPr>
              <w:jc w:val="center"/>
            </w:pPr>
            <w:r w:rsidRPr="00F969CA">
              <w:t>Кол-во человек</w:t>
            </w:r>
          </w:p>
        </w:tc>
        <w:tc>
          <w:tcPr>
            <w:tcW w:w="1085" w:type="dxa"/>
          </w:tcPr>
          <w:p w:rsidR="00F969CA" w:rsidRPr="00F969CA" w:rsidRDefault="00F969CA" w:rsidP="002F626B">
            <w:pPr>
              <w:jc w:val="center"/>
            </w:pPr>
            <w:r w:rsidRPr="00F969CA">
              <w:t>Кол-во приемов</w:t>
            </w:r>
          </w:p>
        </w:tc>
        <w:tc>
          <w:tcPr>
            <w:tcW w:w="1102" w:type="dxa"/>
          </w:tcPr>
          <w:p w:rsidR="00F969CA" w:rsidRPr="00F969CA" w:rsidRDefault="00F969CA" w:rsidP="002F626B">
            <w:pPr>
              <w:jc w:val="center"/>
            </w:pPr>
            <w:r w:rsidRPr="00F969CA">
              <w:t>Кол-во человек</w:t>
            </w:r>
          </w:p>
        </w:tc>
      </w:tr>
      <w:tr w:rsidR="00F969CA" w:rsidTr="00AF7935">
        <w:tc>
          <w:tcPr>
            <w:tcW w:w="3077" w:type="dxa"/>
            <w:vMerge/>
          </w:tcPr>
          <w:p w:rsidR="00F969CA" w:rsidRDefault="00F969CA" w:rsidP="002F626B">
            <w:pPr>
              <w:jc w:val="center"/>
              <w:rPr>
                <w:color w:val="FF0000"/>
              </w:rPr>
            </w:pPr>
          </w:p>
        </w:tc>
        <w:tc>
          <w:tcPr>
            <w:tcW w:w="1103" w:type="dxa"/>
          </w:tcPr>
          <w:p w:rsidR="00F969CA" w:rsidRPr="00F969CA" w:rsidRDefault="00F969CA" w:rsidP="002F626B">
            <w:pPr>
              <w:jc w:val="center"/>
            </w:pPr>
            <w:r w:rsidRPr="00F969CA">
              <w:t>18</w:t>
            </w:r>
          </w:p>
        </w:tc>
        <w:tc>
          <w:tcPr>
            <w:tcW w:w="1077" w:type="dxa"/>
          </w:tcPr>
          <w:p w:rsidR="00F969CA" w:rsidRPr="00F969CA" w:rsidRDefault="00F969CA" w:rsidP="002F626B">
            <w:pPr>
              <w:jc w:val="center"/>
            </w:pPr>
            <w:r w:rsidRPr="00F969CA">
              <w:t>58</w:t>
            </w:r>
          </w:p>
        </w:tc>
        <w:tc>
          <w:tcPr>
            <w:tcW w:w="1102" w:type="dxa"/>
          </w:tcPr>
          <w:p w:rsidR="00F969CA" w:rsidRPr="00F969CA" w:rsidRDefault="00F969CA" w:rsidP="002F626B">
            <w:pPr>
              <w:jc w:val="center"/>
            </w:pPr>
            <w:r w:rsidRPr="00F969CA">
              <w:t>12</w:t>
            </w:r>
          </w:p>
        </w:tc>
        <w:tc>
          <w:tcPr>
            <w:tcW w:w="1077" w:type="dxa"/>
          </w:tcPr>
          <w:p w:rsidR="00F969CA" w:rsidRPr="00F969CA" w:rsidRDefault="00F969CA" w:rsidP="002F626B">
            <w:pPr>
              <w:jc w:val="center"/>
            </w:pPr>
            <w:r w:rsidRPr="00F969CA">
              <w:t>43</w:t>
            </w:r>
          </w:p>
        </w:tc>
        <w:tc>
          <w:tcPr>
            <w:tcW w:w="1085" w:type="dxa"/>
          </w:tcPr>
          <w:p w:rsidR="00F969CA" w:rsidRPr="00F969CA" w:rsidRDefault="00F969CA" w:rsidP="002F626B">
            <w:pPr>
              <w:jc w:val="center"/>
            </w:pPr>
            <w:r w:rsidRPr="00F969CA">
              <w:t>14</w:t>
            </w:r>
          </w:p>
        </w:tc>
        <w:tc>
          <w:tcPr>
            <w:tcW w:w="1102" w:type="dxa"/>
          </w:tcPr>
          <w:p w:rsidR="00F969CA" w:rsidRPr="00F969CA" w:rsidRDefault="00F969CA" w:rsidP="002F626B">
            <w:pPr>
              <w:jc w:val="center"/>
            </w:pPr>
            <w:r w:rsidRPr="00F969CA">
              <w:t>56</w:t>
            </w:r>
          </w:p>
        </w:tc>
      </w:tr>
      <w:tr w:rsidR="00F969CA" w:rsidRPr="004D39A1" w:rsidTr="00AF7935">
        <w:trPr>
          <w:trHeight w:val="299"/>
        </w:trPr>
        <w:tc>
          <w:tcPr>
            <w:tcW w:w="3077" w:type="dxa"/>
          </w:tcPr>
          <w:p w:rsidR="00F969CA" w:rsidRPr="004D39A1" w:rsidRDefault="00F969CA" w:rsidP="004D39A1">
            <w:pPr>
              <w:rPr>
                <w:color w:val="FF0000"/>
              </w:rPr>
            </w:pPr>
            <w:r w:rsidRPr="004D39A1">
              <w:t>Результат рассмотрения</w:t>
            </w:r>
          </w:p>
        </w:tc>
        <w:tc>
          <w:tcPr>
            <w:tcW w:w="2180" w:type="dxa"/>
            <w:gridSpan w:val="2"/>
          </w:tcPr>
          <w:p w:rsidR="00F969CA" w:rsidRPr="004D39A1" w:rsidRDefault="00F969CA" w:rsidP="002F626B">
            <w:pPr>
              <w:jc w:val="center"/>
            </w:pPr>
          </w:p>
        </w:tc>
        <w:tc>
          <w:tcPr>
            <w:tcW w:w="2179" w:type="dxa"/>
            <w:gridSpan w:val="2"/>
          </w:tcPr>
          <w:p w:rsidR="00F969CA" w:rsidRPr="004D39A1" w:rsidRDefault="00F969CA" w:rsidP="002F626B">
            <w:pPr>
              <w:jc w:val="center"/>
            </w:pPr>
          </w:p>
        </w:tc>
        <w:tc>
          <w:tcPr>
            <w:tcW w:w="2187" w:type="dxa"/>
            <w:gridSpan w:val="2"/>
          </w:tcPr>
          <w:p w:rsidR="00F969CA" w:rsidRPr="004D39A1" w:rsidRDefault="00F969CA" w:rsidP="002F626B">
            <w:pPr>
              <w:jc w:val="center"/>
            </w:pPr>
          </w:p>
        </w:tc>
      </w:tr>
      <w:tr w:rsidR="00F969CA" w:rsidRPr="004D39A1" w:rsidTr="00AF7935">
        <w:tc>
          <w:tcPr>
            <w:tcW w:w="3077" w:type="dxa"/>
          </w:tcPr>
          <w:p w:rsidR="00F969CA" w:rsidRPr="004D39A1" w:rsidRDefault="00F969CA" w:rsidP="00583974">
            <w:pPr>
              <w:spacing w:line="276" w:lineRule="auto"/>
            </w:pPr>
            <w:r w:rsidRPr="004D39A1">
              <w:t>разъяснено</w:t>
            </w:r>
          </w:p>
        </w:tc>
        <w:tc>
          <w:tcPr>
            <w:tcW w:w="2180" w:type="dxa"/>
            <w:gridSpan w:val="2"/>
          </w:tcPr>
          <w:p w:rsidR="00F969CA" w:rsidRPr="004D39A1" w:rsidRDefault="00F969CA" w:rsidP="002F626B">
            <w:pPr>
              <w:jc w:val="center"/>
            </w:pPr>
            <w:r w:rsidRPr="004D39A1">
              <w:t>31 (53%)</w:t>
            </w:r>
          </w:p>
        </w:tc>
        <w:tc>
          <w:tcPr>
            <w:tcW w:w="2179" w:type="dxa"/>
            <w:gridSpan w:val="2"/>
          </w:tcPr>
          <w:p w:rsidR="00F969CA" w:rsidRPr="004D39A1" w:rsidRDefault="00121AF4" w:rsidP="002F626B">
            <w:pPr>
              <w:jc w:val="center"/>
            </w:pPr>
            <w:r w:rsidRPr="004D39A1">
              <w:t>33  (76,7%)</w:t>
            </w:r>
          </w:p>
        </w:tc>
        <w:tc>
          <w:tcPr>
            <w:tcW w:w="2187" w:type="dxa"/>
            <w:gridSpan w:val="2"/>
          </w:tcPr>
          <w:p w:rsidR="00F969CA" w:rsidRPr="004D39A1" w:rsidRDefault="00415F4D" w:rsidP="002F626B">
            <w:pPr>
              <w:jc w:val="center"/>
            </w:pPr>
            <w:r w:rsidRPr="004D39A1">
              <w:t>50 (77%)</w:t>
            </w:r>
          </w:p>
        </w:tc>
      </w:tr>
      <w:tr w:rsidR="00F969CA" w:rsidRPr="004D39A1" w:rsidTr="00AF7935">
        <w:tc>
          <w:tcPr>
            <w:tcW w:w="3077" w:type="dxa"/>
          </w:tcPr>
          <w:p w:rsidR="00F969CA" w:rsidRPr="004D39A1" w:rsidRDefault="004D39A1" w:rsidP="004D39A1">
            <w:pPr>
              <w:spacing w:line="276" w:lineRule="auto"/>
            </w:pPr>
            <w:r>
              <w:t xml:space="preserve">поддержано, в </w:t>
            </w:r>
            <w:proofErr w:type="spellStart"/>
            <w:r>
              <w:t>т.</w:t>
            </w:r>
            <w:r w:rsidR="00F969CA" w:rsidRPr="004D39A1">
              <w:t>ч</w:t>
            </w:r>
            <w:proofErr w:type="spellEnd"/>
            <w:r>
              <w:t>.</w:t>
            </w:r>
            <w:r w:rsidR="00F969CA" w:rsidRPr="004D39A1">
              <w:t xml:space="preserve"> приняты меры</w:t>
            </w:r>
          </w:p>
        </w:tc>
        <w:tc>
          <w:tcPr>
            <w:tcW w:w="2180" w:type="dxa"/>
            <w:gridSpan w:val="2"/>
          </w:tcPr>
          <w:p w:rsidR="00F969CA" w:rsidRPr="004D39A1" w:rsidRDefault="00F969CA" w:rsidP="002F626B">
            <w:pPr>
              <w:jc w:val="center"/>
            </w:pPr>
            <w:r w:rsidRPr="004D39A1">
              <w:t>15 (26%)</w:t>
            </w:r>
          </w:p>
        </w:tc>
        <w:tc>
          <w:tcPr>
            <w:tcW w:w="2179" w:type="dxa"/>
            <w:gridSpan w:val="2"/>
          </w:tcPr>
          <w:p w:rsidR="00F969CA" w:rsidRPr="004D39A1" w:rsidRDefault="00121AF4" w:rsidP="00121AF4">
            <w:pPr>
              <w:jc w:val="center"/>
            </w:pPr>
            <w:r w:rsidRPr="004D39A1">
              <w:t>10 (23,3%)</w:t>
            </w:r>
          </w:p>
        </w:tc>
        <w:tc>
          <w:tcPr>
            <w:tcW w:w="2187" w:type="dxa"/>
            <w:gridSpan w:val="2"/>
          </w:tcPr>
          <w:p w:rsidR="00F969CA" w:rsidRPr="004D39A1" w:rsidRDefault="00415F4D" w:rsidP="002F626B">
            <w:pPr>
              <w:jc w:val="center"/>
            </w:pPr>
            <w:r w:rsidRPr="004D39A1">
              <w:t>15 (23%)</w:t>
            </w:r>
          </w:p>
        </w:tc>
      </w:tr>
      <w:tr w:rsidR="00F969CA" w:rsidRPr="004D39A1" w:rsidTr="00AF7935">
        <w:tc>
          <w:tcPr>
            <w:tcW w:w="3077" w:type="dxa"/>
          </w:tcPr>
          <w:p w:rsidR="00F969CA" w:rsidRPr="004D39A1" w:rsidRDefault="00F969CA" w:rsidP="00583974">
            <w:pPr>
              <w:spacing w:line="276" w:lineRule="auto"/>
            </w:pPr>
            <w:r w:rsidRPr="004D39A1">
              <w:t>не поддержано</w:t>
            </w:r>
          </w:p>
        </w:tc>
        <w:tc>
          <w:tcPr>
            <w:tcW w:w="2180" w:type="dxa"/>
            <w:gridSpan w:val="2"/>
          </w:tcPr>
          <w:p w:rsidR="00F969CA" w:rsidRPr="004D39A1" w:rsidRDefault="00F969CA" w:rsidP="002F626B">
            <w:pPr>
              <w:jc w:val="center"/>
            </w:pPr>
            <w:r w:rsidRPr="004D39A1">
              <w:t>12 (21%)</w:t>
            </w:r>
          </w:p>
        </w:tc>
        <w:tc>
          <w:tcPr>
            <w:tcW w:w="2179" w:type="dxa"/>
            <w:gridSpan w:val="2"/>
          </w:tcPr>
          <w:p w:rsidR="00F969CA" w:rsidRPr="004D39A1" w:rsidRDefault="00121AF4" w:rsidP="002F626B">
            <w:pPr>
              <w:jc w:val="center"/>
            </w:pPr>
            <w:r w:rsidRPr="004D39A1">
              <w:t xml:space="preserve">0 </w:t>
            </w:r>
          </w:p>
        </w:tc>
        <w:tc>
          <w:tcPr>
            <w:tcW w:w="2187" w:type="dxa"/>
            <w:gridSpan w:val="2"/>
          </w:tcPr>
          <w:p w:rsidR="00F969CA" w:rsidRPr="004D39A1" w:rsidRDefault="00415F4D" w:rsidP="002F626B">
            <w:pPr>
              <w:jc w:val="center"/>
            </w:pPr>
            <w:r w:rsidRPr="004D39A1">
              <w:t>0</w:t>
            </w:r>
          </w:p>
        </w:tc>
      </w:tr>
    </w:tbl>
    <w:p w:rsidR="008A2D4F" w:rsidRDefault="008A2D4F" w:rsidP="002F626B">
      <w:pPr>
        <w:jc w:val="center"/>
        <w:rPr>
          <w:color w:val="FF0000"/>
        </w:rPr>
      </w:pPr>
    </w:p>
    <w:p w:rsidR="002F626B" w:rsidRPr="00BD3235" w:rsidRDefault="002F626B" w:rsidP="002F626B">
      <w:pPr>
        <w:ind w:firstLine="709"/>
        <w:jc w:val="both"/>
      </w:pPr>
      <w:r w:rsidRPr="00BD3235">
        <w:lastRenderedPageBreak/>
        <w:t>Основное количество поступивших устных обращений на личных приемах это вопросы жилищно-коммунальной сферы:</w:t>
      </w:r>
    </w:p>
    <w:p w:rsidR="002F626B" w:rsidRPr="00BD3235" w:rsidRDefault="00417681" w:rsidP="002F626B">
      <w:pPr>
        <w:ind w:firstLine="709"/>
        <w:jc w:val="both"/>
      </w:pPr>
      <w:r>
        <w:t xml:space="preserve">- </w:t>
      </w:r>
      <w:r w:rsidR="002F626B" w:rsidRPr="00BD3235">
        <w:t>расселение из домов признанных непригодными для проживания, улучшение жилищных условий, предоставление жилого помещения по договору социального найма, предоставление жилого поме</w:t>
      </w:r>
      <w:r>
        <w:t>щения для временного проживания</w:t>
      </w:r>
      <w:r w:rsidR="009D18F6">
        <w:t>;</w:t>
      </w:r>
    </w:p>
    <w:p w:rsidR="002F626B" w:rsidRPr="00BD3235" w:rsidRDefault="00417681" w:rsidP="002F626B">
      <w:pPr>
        <w:ind w:firstLine="709"/>
        <w:jc w:val="both"/>
      </w:pPr>
      <w:r>
        <w:t xml:space="preserve">- </w:t>
      </w:r>
      <w:r w:rsidR="002F626B" w:rsidRPr="00BD3235">
        <w:t>выполнение работ по ремонту домов, предоставление ж</w:t>
      </w:r>
      <w:r>
        <w:t>илищно-коммунальных услуг и др.</w:t>
      </w:r>
    </w:p>
    <w:p w:rsidR="00121AF4" w:rsidRDefault="00121AF4" w:rsidP="002F626B">
      <w:pPr>
        <w:ind w:firstLine="709"/>
        <w:jc w:val="both"/>
        <w:rPr>
          <w:b/>
          <w:color w:val="FF0000"/>
        </w:rPr>
      </w:pPr>
    </w:p>
    <w:p w:rsidR="002F626B" w:rsidRDefault="002F626B" w:rsidP="00A93BC3">
      <w:pPr>
        <w:ind w:firstLine="709"/>
        <w:jc w:val="center"/>
      </w:pPr>
      <w:proofErr w:type="gramStart"/>
      <w:r w:rsidRPr="004D39A1">
        <w:t>Контроль за</w:t>
      </w:r>
      <w:proofErr w:type="gramEnd"/>
      <w:r w:rsidRPr="004D39A1">
        <w:t xml:space="preserve"> рассмотрением письменных обращений граждан.</w:t>
      </w:r>
    </w:p>
    <w:p w:rsidR="004D39A1" w:rsidRPr="004D39A1" w:rsidRDefault="004D39A1" w:rsidP="00A93BC3">
      <w:pPr>
        <w:ind w:firstLine="709"/>
        <w:jc w:val="center"/>
        <w:rPr>
          <w:sz w:val="10"/>
          <w:szCs w:val="10"/>
        </w:rPr>
      </w:pPr>
    </w:p>
    <w:p w:rsidR="00AF7935" w:rsidRPr="00083624" w:rsidRDefault="00AF7935" w:rsidP="00AF7935">
      <w:pPr>
        <w:ind w:firstLine="709"/>
        <w:jc w:val="both"/>
      </w:pPr>
      <w:r w:rsidRPr="00083624">
        <w:t xml:space="preserve">За отчетный период из общего количества поступивших обращений 4094 граждан </w:t>
      </w:r>
      <w:r w:rsidR="004A1540">
        <w:t xml:space="preserve">или </w:t>
      </w:r>
      <w:r w:rsidRPr="00083624">
        <w:t>9</w:t>
      </w:r>
      <w:r w:rsidR="00083624" w:rsidRPr="00083624">
        <w:t>8</w:t>
      </w:r>
      <w:r w:rsidRPr="00083624">
        <w:t>,</w:t>
      </w:r>
      <w:r w:rsidR="00083624" w:rsidRPr="00083624">
        <w:t>4</w:t>
      </w:r>
      <w:r w:rsidR="004A1540">
        <w:t xml:space="preserve">% от общего количества обращений </w:t>
      </w:r>
      <w:r w:rsidRPr="00083624">
        <w:t>получили подробные разъяснения и консультации по интересующим их вопросам</w:t>
      </w:r>
      <w:r w:rsidR="004A1540">
        <w:t xml:space="preserve"> (2016</w:t>
      </w:r>
      <w:r w:rsidR="00296B6F">
        <w:t xml:space="preserve"> </w:t>
      </w:r>
      <w:r w:rsidR="004A1540">
        <w:t>год – 96,6%, 2017 год – 95,2%)</w:t>
      </w:r>
      <w:r w:rsidRPr="00083624">
        <w:t xml:space="preserve">, </w:t>
      </w:r>
      <w:r w:rsidR="004A1540">
        <w:t xml:space="preserve"> </w:t>
      </w:r>
      <w:r w:rsidRPr="00083624">
        <w:t>в том числе:</w:t>
      </w:r>
    </w:p>
    <w:p w:rsidR="00AF7935" w:rsidRPr="004A1540" w:rsidRDefault="00AF7935" w:rsidP="00AF7935">
      <w:pPr>
        <w:ind w:firstLine="709"/>
        <w:jc w:val="both"/>
      </w:pPr>
      <w:r w:rsidRPr="004A1540">
        <w:t xml:space="preserve">- на </w:t>
      </w:r>
      <w:r w:rsidR="00083624" w:rsidRPr="004A1540">
        <w:t>4</w:t>
      </w:r>
      <w:r w:rsidR="004A1540" w:rsidRPr="004A1540">
        <w:t>67</w:t>
      </w:r>
      <w:r w:rsidRPr="004A1540">
        <w:t xml:space="preserve"> обращени</w:t>
      </w:r>
      <w:r w:rsidR="00083624" w:rsidRPr="004A1540">
        <w:t>е</w:t>
      </w:r>
      <w:r w:rsidR="004A1540">
        <w:t xml:space="preserve"> или </w:t>
      </w:r>
      <w:r w:rsidR="00083624" w:rsidRPr="004A1540">
        <w:t>11</w:t>
      </w:r>
      <w:r w:rsidR="004A1540" w:rsidRPr="004A1540">
        <w:t>,4</w:t>
      </w:r>
      <w:r w:rsidRPr="004A1540">
        <w:t>%</w:t>
      </w:r>
      <w:r w:rsidR="004A1540">
        <w:t xml:space="preserve"> от общего количества обращений</w:t>
      </w:r>
      <w:r w:rsidRPr="004A1540">
        <w:t xml:space="preserve"> были даны ответы разъяснительного характера</w:t>
      </w:r>
      <w:r w:rsidR="004A1540">
        <w:t xml:space="preserve"> (2016год – 24,5%, 2017 год – 22%)</w:t>
      </w:r>
      <w:r w:rsidRPr="004A1540">
        <w:t>;</w:t>
      </w:r>
    </w:p>
    <w:p w:rsidR="00AF7935" w:rsidRPr="004A1540" w:rsidRDefault="00AF7935" w:rsidP="00AF7935">
      <w:pPr>
        <w:ind w:firstLine="709"/>
        <w:jc w:val="both"/>
      </w:pPr>
      <w:r w:rsidRPr="004A1540">
        <w:t xml:space="preserve">- </w:t>
      </w:r>
      <w:r w:rsidR="00083624" w:rsidRPr="004A1540">
        <w:t>3444</w:t>
      </w:r>
      <w:r w:rsidRPr="004A1540">
        <w:t xml:space="preserve"> обращени</w:t>
      </w:r>
      <w:r w:rsidR="006A2551">
        <w:t xml:space="preserve">я или </w:t>
      </w:r>
      <w:r w:rsidR="004A1540">
        <w:t>84</w:t>
      </w:r>
      <w:r w:rsidRPr="004A1540">
        <w:t>%</w:t>
      </w:r>
      <w:r w:rsidR="006A2551">
        <w:t xml:space="preserve"> </w:t>
      </w:r>
      <w:r w:rsidRPr="004A1540">
        <w:t xml:space="preserve"> поддержано, в том числе приняты меры</w:t>
      </w:r>
      <w:r w:rsidR="006A2551">
        <w:t xml:space="preserve"> (2016 год – </w:t>
      </w:r>
      <w:r w:rsidR="00F64283">
        <w:t xml:space="preserve">1958 обращений </w:t>
      </w:r>
      <w:r w:rsidR="00296B6F">
        <w:t xml:space="preserve">или </w:t>
      </w:r>
      <w:r w:rsidR="006A2551">
        <w:t>65,6%, 2017 год –</w:t>
      </w:r>
      <w:r w:rsidR="00296B6F">
        <w:t xml:space="preserve"> 2061 обращение или </w:t>
      </w:r>
      <w:r w:rsidR="006A2551">
        <w:t xml:space="preserve"> 69%)</w:t>
      </w:r>
      <w:r w:rsidRPr="004A1540">
        <w:t>;</w:t>
      </w:r>
    </w:p>
    <w:p w:rsidR="00AF7935" w:rsidRPr="004A1540" w:rsidRDefault="00AF7935" w:rsidP="00AF7935">
      <w:pPr>
        <w:ind w:firstLine="709"/>
        <w:jc w:val="both"/>
      </w:pPr>
      <w:r w:rsidRPr="004A1540">
        <w:t>- 1</w:t>
      </w:r>
      <w:r w:rsidR="004A1540" w:rsidRPr="004A1540">
        <w:t>0</w:t>
      </w:r>
      <w:r w:rsidRPr="004A1540">
        <w:t xml:space="preserve">9 </w:t>
      </w:r>
      <w:r w:rsidR="006A2551">
        <w:t xml:space="preserve">обращений или </w:t>
      </w:r>
      <w:r w:rsidR="004A1540" w:rsidRPr="004A1540">
        <w:t>2,7</w:t>
      </w:r>
      <w:r w:rsidR="006A2551">
        <w:t xml:space="preserve">% </w:t>
      </w:r>
      <w:r w:rsidRPr="004A1540">
        <w:t xml:space="preserve"> не поддержано</w:t>
      </w:r>
      <w:r w:rsidR="006A2551">
        <w:t xml:space="preserve"> (2016 год  - </w:t>
      </w:r>
      <w:r w:rsidR="00F64283">
        <w:t xml:space="preserve">196 обращений или </w:t>
      </w:r>
      <w:r w:rsidR="006A2551">
        <w:t xml:space="preserve">6,6%, 2017 год – </w:t>
      </w:r>
      <w:r w:rsidR="00F64283">
        <w:t xml:space="preserve">119 обращений или </w:t>
      </w:r>
      <w:r w:rsidR="006A2551">
        <w:t>4%)</w:t>
      </w:r>
      <w:r w:rsidRPr="004A1540">
        <w:t>;</w:t>
      </w:r>
    </w:p>
    <w:p w:rsidR="00AF7935" w:rsidRPr="00083624" w:rsidRDefault="00AF7935" w:rsidP="00AF7935">
      <w:pPr>
        <w:ind w:firstLine="709"/>
        <w:jc w:val="both"/>
      </w:pPr>
      <w:r w:rsidRPr="00083624">
        <w:t>- 1</w:t>
      </w:r>
      <w:r w:rsidR="00083624" w:rsidRPr="00083624">
        <w:t>0</w:t>
      </w:r>
      <w:r w:rsidR="006A2551">
        <w:t xml:space="preserve"> </w:t>
      </w:r>
      <w:r w:rsidR="00417681">
        <w:t xml:space="preserve">обращений </w:t>
      </w:r>
      <w:r w:rsidR="006A2551">
        <w:t xml:space="preserve">или </w:t>
      </w:r>
      <w:r w:rsidRPr="00083624">
        <w:t>0,</w:t>
      </w:r>
      <w:r w:rsidR="00083624" w:rsidRPr="00083624">
        <w:t>3</w:t>
      </w:r>
      <w:r w:rsidR="006A2551">
        <w:t xml:space="preserve">% </w:t>
      </w:r>
      <w:r w:rsidRPr="00083624">
        <w:t xml:space="preserve"> перенаправлено для рассмотрения по компетенции</w:t>
      </w:r>
      <w:r w:rsidR="006A2551">
        <w:t xml:space="preserve"> (2016 год </w:t>
      </w:r>
      <w:r w:rsidR="00F64283">
        <w:t>–</w:t>
      </w:r>
      <w:r w:rsidR="006A2551">
        <w:t xml:space="preserve"> </w:t>
      </w:r>
      <w:r w:rsidR="00F64283">
        <w:t>10 обращений или 0,3%, 2017 год – 11 обращений или 0,4%)</w:t>
      </w:r>
      <w:r w:rsidR="006A2551">
        <w:t xml:space="preserve"> </w:t>
      </w:r>
      <w:r w:rsidRPr="00083624">
        <w:t>.</w:t>
      </w:r>
    </w:p>
    <w:p w:rsidR="00AF7935" w:rsidRPr="00083624" w:rsidRDefault="00AF7935" w:rsidP="00AF7935">
      <w:pPr>
        <w:ind w:firstLine="709"/>
        <w:jc w:val="both"/>
      </w:pPr>
      <w:r w:rsidRPr="00083624">
        <w:t xml:space="preserve">Находятся на рассмотрении - </w:t>
      </w:r>
      <w:r w:rsidR="00083624" w:rsidRPr="00083624">
        <w:t>64</w:t>
      </w:r>
      <w:r w:rsidR="00F64283">
        <w:t xml:space="preserve"> обращения или </w:t>
      </w:r>
      <w:r w:rsidR="00083624" w:rsidRPr="00083624">
        <w:t>1</w:t>
      </w:r>
      <w:r w:rsidRPr="00083624">
        <w:t>,</w:t>
      </w:r>
      <w:r w:rsidR="00083624" w:rsidRPr="00083624">
        <w:t>6</w:t>
      </w:r>
      <w:r w:rsidRPr="00083624">
        <w:t>%</w:t>
      </w:r>
      <w:r w:rsidR="00F64283">
        <w:t xml:space="preserve"> (2016год – 101 обращение или 3,4%</w:t>
      </w:r>
      <w:r w:rsidRPr="00083624">
        <w:t>.</w:t>
      </w:r>
      <w:r w:rsidR="00F64283">
        <w:t>, 2017 год – 143 обращения или 4,8%)</w:t>
      </w:r>
    </w:p>
    <w:p w:rsidR="00AF7935" w:rsidRPr="00862B4B" w:rsidRDefault="00AF7935" w:rsidP="00AF7935">
      <w:pPr>
        <w:ind w:firstLine="709"/>
        <w:jc w:val="both"/>
      </w:pPr>
      <w:r w:rsidRPr="00862B4B">
        <w:t xml:space="preserve">Количество ответов разъяснительного характера снизилось </w:t>
      </w:r>
      <w:r w:rsidR="00862B4B" w:rsidRPr="00862B4B">
        <w:t>и составило 11,4% (2017</w:t>
      </w:r>
      <w:r w:rsidRPr="00862B4B">
        <w:t xml:space="preserve"> год</w:t>
      </w:r>
      <w:r w:rsidR="00862B4B" w:rsidRPr="00862B4B">
        <w:t xml:space="preserve"> – 22%, 2016 год – 24,5%</w:t>
      </w:r>
      <w:r w:rsidRPr="00862B4B">
        <w:t>)</w:t>
      </w:r>
      <w:r w:rsidR="00862B4B" w:rsidRPr="00862B4B">
        <w:t xml:space="preserve">, а </w:t>
      </w:r>
      <w:r w:rsidRPr="00862B4B">
        <w:t xml:space="preserve">количество ответов, имеющих итог исполнения «поддержано» </w:t>
      </w:r>
      <w:r w:rsidR="00862B4B" w:rsidRPr="00862B4B">
        <w:t xml:space="preserve">возросло </w:t>
      </w:r>
      <w:r w:rsidRPr="00862B4B">
        <w:t xml:space="preserve">до </w:t>
      </w:r>
      <w:r w:rsidR="00862B4B" w:rsidRPr="00862B4B">
        <w:t xml:space="preserve">84% </w:t>
      </w:r>
      <w:r w:rsidR="00417681">
        <w:t xml:space="preserve">от общего количества </w:t>
      </w:r>
      <w:r w:rsidRPr="00862B4B">
        <w:t>(</w:t>
      </w:r>
      <w:r w:rsidR="00862B4B" w:rsidRPr="00862B4B">
        <w:t>2016 год -</w:t>
      </w:r>
      <w:r w:rsidRPr="00862B4B">
        <w:t xml:space="preserve"> 65,6%</w:t>
      </w:r>
      <w:r w:rsidR="00862B4B" w:rsidRPr="00862B4B">
        <w:t>, 2017 год – 69%</w:t>
      </w:r>
      <w:r w:rsidRPr="00862B4B">
        <w:t>), что говорит о более детальном и качественном подходе исполнителей к работе с обращениями граждан.</w:t>
      </w:r>
    </w:p>
    <w:p w:rsidR="00AF7935" w:rsidRPr="00862B4B" w:rsidRDefault="00AF7935" w:rsidP="00AF7935">
      <w:pPr>
        <w:ind w:firstLine="709"/>
        <w:jc w:val="both"/>
      </w:pPr>
      <w:r w:rsidRPr="00862B4B">
        <w:t>Рассмотренных обращений с истекшим сроком исполнения и иными нарушениями нет.</w:t>
      </w:r>
    </w:p>
    <w:p w:rsidR="00AF7935" w:rsidRPr="002F626B" w:rsidRDefault="00AF7935" w:rsidP="00AF7935"/>
    <w:p w:rsidR="002F626B" w:rsidRPr="008D3B80" w:rsidRDefault="002F626B" w:rsidP="002F626B">
      <w:pPr>
        <w:ind w:firstLine="709"/>
        <w:jc w:val="both"/>
        <w:rPr>
          <w:color w:val="FF0000"/>
        </w:rPr>
      </w:pPr>
    </w:p>
    <w:p w:rsidR="00000BA5" w:rsidRPr="002F626B" w:rsidRDefault="00000BA5" w:rsidP="002F626B"/>
    <w:sectPr w:rsidR="00000BA5" w:rsidRPr="002F626B" w:rsidSect="00E65A4A">
      <w:pgSz w:w="11906" w:h="16838"/>
      <w:pgMar w:top="1134" w:right="567" w:bottom="71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767B"/>
    <w:multiLevelType w:val="hybridMultilevel"/>
    <w:tmpl w:val="FF2AA3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7C4CCE"/>
    <w:multiLevelType w:val="hybridMultilevel"/>
    <w:tmpl w:val="7E6A1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967F3D"/>
    <w:multiLevelType w:val="hybridMultilevel"/>
    <w:tmpl w:val="E6748804"/>
    <w:lvl w:ilvl="0" w:tplc="724E7D58">
      <w:start w:val="1"/>
      <w:numFmt w:val="decimal"/>
      <w:lvlText w:val="%1."/>
      <w:lvlJc w:val="left"/>
      <w:pPr>
        <w:tabs>
          <w:tab w:val="num" w:pos="1080"/>
        </w:tabs>
        <w:ind w:left="1080" w:hanging="360"/>
      </w:pPr>
    </w:lvl>
    <w:lvl w:ilvl="1" w:tplc="24D4252E">
      <w:numFmt w:val="none"/>
      <w:lvlText w:val=""/>
      <w:lvlJc w:val="left"/>
      <w:pPr>
        <w:tabs>
          <w:tab w:val="num" w:pos="360"/>
        </w:tabs>
      </w:pPr>
    </w:lvl>
    <w:lvl w:ilvl="2" w:tplc="BB0EC1B2">
      <w:numFmt w:val="none"/>
      <w:lvlText w:val=""/>
      <w:lvlJc w:val="left"/>
      <w:pPr>
        <w:tabs>
          <w:tab w:val="num" w:pos="360"/>
        </w:tabs>
      </w:pPr>
    </w:lvl>
    <w:lvl w:ilvl="3" w:tplc="51246664">
      <w:numFmt w:val="none"/>
      <w:lvlText w:val=""/>
      <w:lvlJc w:val="left"/>
      <w:pPr>
        <w:tabs>
          <w:tab w:val="num" w:pos="360"/>
        </w:tabs>
      </w:pPr>
    </w:lvl>
    <w:lvl w:ilvl="4" w:tplc="7BFAC512">
      <w:numFmt w:val="none"/>
      <w:lvlText w:val=""/>
      <w:lvlJc w:val="left"/>
      <w:pPr>
        <w:tabs>
          <w:tab w:val="num" w:pos="360"/>
        </w:tabs>
      </w:pPr>
    </w:lvl>
    <w:lvl w:ilvl="5" w:tplc="FCE8DBD6">
      <w:numFmt w:val="none"/>
      <w:lvlText w:val=""/>
      <w:lvlJc w:val="left"/>
      <w:pPr>
        <w:tabs>
          <w:tab w:val="num" w:pos="360"/>
        </w:tabs>
      </w:pPr>
    </w:lvl>
    <w:lvl w:ilvl="6" w:tplc="380EE97C">
      <w:numFmt w:val="none"/>
      <w:lvlText w:val=""/>
      <w:lvlJc w:val="left"/>
      <w:pPr>
        <w:tabs>
          <w:tab w:val="num" w:pos="360"/>
        </w:tabs>
      </w:pPr>
    </w:lvl>
    <w:lvl w:ilvl="7" w:tplc="C19E4BFA">
      <w:numFmt w:val="none"/>
      <w:lvlText w:val=""/>
      <w:lvlJc w:val="left"/>
      <w:pPr>
        <w:tabs>
          <w:tab w:val="num" w:pos="360"/>
        </w:tabs>
      </w:pPr>
    </w:lvl>
    <w:lvl w:ilvl="8" w:tplc="2E00285E">
      <w:numFmt w:val="none"/>
      <w:lvlText w:val=""/>
      <w:lvlJc w:val="left"/>
      <w:pPr>
        <w:tabs>
          <w:tab w:val="num" w:pos="360"/>
        </w:tabs>
      </w:pPr>
    </w:lvl>
  </w:abstractNum>
  <w:abstractNum w:abstractNumId="3">
    <w:nsid w:val="3FF67E7B"/>
    <w:multiLevelType w:val="hybridMultilevel"/>
    <w:tmpl w:val="FEA47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1105DD0"/>
    <w:multiLevelType w:val="hybridMultilevel"/>
    <w:tmpl w:val="42A8B206"/>
    <w:lvl w:ilvl="0" w:tplc="BFCA1B3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5820654"/>
    <w:multiLevelType w:val="hybridMultilevel"/>
    <w:tmpl w:val="E3388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D65B7C"/>
    <w:multiLevelType w:val="hybridMultilevel"/>
    <w:tmpl w:val="D72A09E8"/>
    <w:lvl w:ilvl="0" w:tplc="891429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684330D2"/>
    <w:multiLevelType w:val="hybridMultilevel"/>
    <w:tmpl w:val="B8E256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9766723"/>
    <w:multiLevelType w:val="hybridMultilevel"/>
    <w:tmpl w:val="03FAC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E3"/>
    <w:rsid w:val="00000BA5"/>
    <w:rsid w:val="000023F2"/>
    <w:rsid w:val="00002979"/>
    <w:rsid w:val="00014292"/>
    <w:rsid w:val="00022442"/>
    <w:rsid w:val="00023DB5"/>
    <w:rsid w:val="000260F3"/>
    <w:rsid w:val="00037A27"/>
    <w:rsid w:val="000571E1"/>
    <w:rsid w:val="00062FAA"/>
    <w:rsid w:val="00073161"/>
    <w:rsid w:val="00073920"/>
    <w:rsid w:val="00074F3E"/>
    <w:rsid w:val="00083624"/>
    <w:rsid w:val="00093A52"/>
    <w:rsid w:val="000A0E74"/>
    <w:rsid w:val="000B61D9"/>
    <w:rsid w:val="000C545C"/>
    <w:rsid w:val="000C6F8F"/>
    <w:rsid w:val="000D1232"/>
    <w:rsid w:val="000D19B8"/>
    <w:rsid w:val="000D6B43"/>
    <w:rsid w:val="000E12F3"/>
    <w:rsid w:val="000E3CA5"/>
    <w:rsid w:val="000F4560"/>
    <w:rsid w:val="000F56EF"/>
    <w:rsid w:val="000F5AA1"/>
    <w:rsid w:val="001002DD"/>
    <w:rsid w:val="00103406"/>
    <w:rsid w:val="001079F1"/>
    <w:rsid w:val="001178BE"/>
    <w:rsid w:val="00121AF4"/>
    <w:rsid w:val="00131969"/>
    <w:rsid w:val="00134BD8"/>
    <w:rsid w:val="0014620B"/>
    <w:rsid w:val="001555E3"/>
    <w:rsid w:val="00163D83"/>
    <w:rsid w:val="00163F52"/>
    <w:rsid w:val="0017464D"/>
    <w:rsid w:val="0017665C"/>
    <w:rsid w:val="00181165"/>
    <w:rsid w:val="00183EEB"/>
    <w:rsid w:val="00184D66"/>
    <w:rsid w:val="00191999"/>
    <w:rsid w:val="0019654A"/>
    <w:rsid w:val="001A3939"/>
    <w:rsid w:val="001B0C85"/>
    <w:rsid w:val="001B31D5"/>
    <w:rsid w:val="001C235C"/>
    <w:rsid w:val="001C4444"/>
    <w:rsid w:val="001D6A9D"/>
    <w:rsid w:val="001E2009"/>
    <w:rsid w:val="001E2699"/>
    <w:rsid w:val="001F3723"/>
    <w:rsid w:val="001F7DBC"/>
    <w:rsid w:val="00200229"/>
    <w:rsid w:val="002019C7"/>
    <w:rsid w:val="00202E6B"/>
    <w:rsid w:val="002054AF"/>
    <w:rsid w:val="002111FB"/>
    <w:rsid w:val="002116F8"/>
    <w:rsid w:val="00215692"/>
    <w:rsid w:val="00215BEE"/>
    <w:rsid w:val="00216BD1"/>
    <w:rsid w:val="00225DFF"/>
    <w:rsid w:val="00227C65"/>
    <w:rsid w:val="0023475A"/>
    <w:rsid w:val="00234C37"/>
    <w:rsid w:val="0023736A"/>
    <w:rsid w:val="00237CE3"/>
    <w:rsid w:val="00241E60"/>
    <w:rsid w:val="002431F7"/>
    <w:rsid w:val="002442FD"/>
    <w:rsid w:val="002444E8"/>
    <w:rsid w:val="00251F57"/>
    <w:rsid w:val="00256FB9"/>
    <w:rsid w:val="00267AE0"/>
    <w:rsid w:val="0027014F"/>
    <w:rsid w:val="00270385"/>
    <w:rsid w:val="002806F8"/>
    <w:rsid w:val="00286FFD"/>
    <w:rsid w:val="002912D2"/>
    <w:rsid w:val="00296B6F"/>
    <w:rsid w:val="002A1B4C"/>
    <w:rsid w:val="002A225C"/>
    <w:rsid w:val="002A56A1"/>
    <w:rsid w:val="002A649D"/>
    <w:rsid w:val="002B2BCB"/>
    <w:rsid w:val="002B40F6"/>
    <w:rsid w:val="002C10CA"/>
    <w:rsid w:val="002C2139"/>
    <w:rsid w:val="002C2877"/>
    <w:rsid w:val="002C3AFC"/>
    <w:rsid w:val="002D2447"/>
    <w:rsid w:val="002D3A0A"/>
    <w:rsid w:val="002D3BA1"/>
    <w:rsid w:val="002E1922"/>
    <w:rsid w:val="002E2C9F"/>
    <w:rsid w:val="002E3CFC"/>
    <w:rsid w:val="002E4958"/>
    <w:rsid w:val="002F538A"/>
    <w:rsid w:val="002F626B"/>
    <w:rsid w:val="003032F2"/>
    <w:rsid w:val="00305D04"/>
    <w:rsid w:val="00331CE1"/>
    <w:rsid w:val="0033678D"/>
    <w:rsid w:val="00347BFF"/>
    <w:rsid w:val="003506D6"/>
    <w:rsid w:val="0035514D"/>
    <w:rsid w:val="0036389F"/>
    <w:rsid w:val="00364F95"/>
    <w:rsid w:val="003748BC"/>
    <w:rsid w:val="0038731A"/>
    <w:rsid w:val="003A19FA"/>
    <w:rsid w:val="003A442A"/>
    <w:rsid w:val="003B0F1F"/>
    <w:rsid w:val="003C3683"/>
    <w:rsid w:val="003E0057"/>
    <w:rsid w:val="003E1A02"/>
    <w:rsid w:val="003E1DDB"/>
    <w:rsid w:val="003E7E3D"/>
    <w:rsid w:val="003F1369"/>
    <w:rsid w:val="003F25E2"/>
    <w:rsid w:val="003F2CA0"/>
    <w:rsid w:val="004013C6"/>
    <w:rsid w:val="0040562C"/>
    <w:rsid w:val="00415F4D"/>
    <w:rsid w:val="00416801"/>
    <w:rsid w:val="00417681"/>
    <w:rsid w:val="004218CF"/>
    <w:rsid w:val="0042329A"/>
    <w:rsid w:val="0042358D"/>
    <w:rsid w:val="0042501B"/>
    <w:rsid w:val="00433795"/>
    <w:rsid w:val="00445852"/>
    <w:rsid w:val="0045087A"/>
    <w:rsid w:val="00452D4D"/>
    <w:rsid w:val="00454BB3"/>
    <w:rsid w:val="004563D3"/>
    <w:rsid w:val="00463379"/>
    <w:rsid w:val="00463FF3"/>
    <w:rsid w:val="00464A73"/>
    <w:rsid w:val="0047186A"/>
    <w:rsid w:val="00472BB4"/>
    <w:rsid w:val="00473F59"/>
    <w:rsid w:val="004740A1"/>
    <w:rsid w:val="00487AA9"/>
    <w:rsid w:val="00495507"/>
    <w:rsid w:val="004A1540"/>
    <w:rsid w:val="004A23DC"/>
    <w:rsid w:val="004B5D3A"/>
    <w:rsid w:val="004C4177"/>
    <w:rsid w:val="004D39A1"/>
    <w:rsid w:val="004D6BBA"/>
    <w:rsid w:val="004E089D"/>
    <w:rsid w:val="004F6268"/>
    <w:rsid w:val="00501DDC"/>
    <w:rsid w:val="005238C3"/>
    <w:rsid w:val="00524C2C"/>
    <w:rsid w:val="005307A0"/>
    <w:rsid w:val="00541969"/>
    <w:rsid w:val="00542D2F"/>
    <w:rsid w:val="00546B83"/>
    <w:rsid w:val="00547D22"/>
    <w:rsid w:val="005618DA"/>
    <w:rsid w:val="005731E3"/>
    <w:rsid w:val="005741DB"/>
    <w:rsid w:val="00585548"/>
    <w:rsid w:val="005864E7"/>
    <w:rsid w:val="005A1977"/>
    <w:rsid w:val="005B01D1"/>
    <w:rsid w:val="005C2EE7"/>
    <w:rsid w:val="005C4D99"/>
    <w:rsid w:val="005C6A53"/>
    <w:rsid w:val="005C7360"/>
    <w:rsid w:val="005C7CAA"/>
    <w:rsid w:val="005D109A"/>
    <w:rsid w:val="005E2245"/>
    <w:rsid w:val="005F0A71"/>
    <w:rsid w:val="005F2D4B"/>
    <w:rsid w:val="005F512B"/>
    <w:rsid w:val="00602BFF"/>
    <w:rsid w:val="00611B63"/>
    <w:rsid w:val="006165CE"/>
    <w:rsid w:val="0062386B"/>
    <w:rsid w:val="006300CF"/>
    <w:rsid w:val="00635640"/>
    <w:rsid w:val="00641777"/>
    <w:rsid w:val="00642624"/>
    <w:rsid w:val="00644E0F"/>
    <w:rsid w:val="00646D17"/>
    <w:rsid w:val="00660731"/>
    <w:rsid w:val="00660E93"/>
    <w:rsid w:val="00672A15"/>
    <w:rsid w:val="00686F44"/>
    <w:rsid w:val="006946FA"/>
    <w:rsid w:val="006A2551"/>
    <w:rsid w:val="006B00DF"/>
    <w:rsid w:val="006B11F1"/>
    <w:rsid w:val="006B2A25"/>
    <w:rsid w:val="006C56C9"/>
    <w:rsid w:val="006C63D5"/>
    <w:rsid w:val="006E7209"/>
    <w:rsid w:val="006F0DAF"/>
    <w:rsid w:val="006F17C9"/>
    <w:rsid w:val="006F4753"/>
    <w:rsid w:val="0072256C"/>
    <w:rsid w:val="00735DBF"/>
    <w:rsid w:val="007368F4"/>
    <w:rsid w:val="00736DC6"/>
    <w:rsid w:val="007504A8"/>
    <w:rsid w:val="0075437A"/>
    <w:rsid w:val="00772059"/>
    <w:rsid w:val="007765D2"/>
    <w:rsid w:val="00776D17"/>
    <w:rsid w:val="00780CE9"/>
    <w:rsid w:val="00787494"/>
    <w:rsid w:val="00790386"/>
    <w:rsid w:val="007974AC"/>
    <w:rsid w:val="007A43D2"/>
    <w:rsid w:val="007A51FB"/>
    <w:rsid w:val="007C2CB7"/>
    <w:rsid w:val="007C7908"/>
    <w:rsid w:val="007D7EAE"/>
    <w:rsid w:val="007E1729"/>
    <w:rsid w:val="007E3ACF"/>
    <w:rsid w:val="007E53CE"/>
    <w:rsid w:val="007F08EE"/>
    <w:rsid w:val="007F695A"/>
    <w:rsid w:val="007F6B91"/>
    <w:rsid w:val="007F7BC4"/>
    <w:rsid w:val="00801BF7"/>
    <w:rsid w:val="00810394"/>
    <w:rsid w:val="00810DC8"/>
    <w:rsid w:val="00812B16"/>
    <w:rsid w:val="00822D21"/>
    <w:rsid w:val="00824BE6"/>
    <w:rsid w:val="00856E6B"/>
    <w:rsid w:val="008609BC"/>
    <w:rsid w:val="00860BD4"/>
    <w:rsid w:val="00860E4F"/>
    <w:rsid w:val="00862B4B"/>
    <w:rsid w:val="00864DE7"/>
    <w:rsid w:val="008725F8"/>
    <w:rsid w:val="00880914"/>
    <w:rsid w:val="0089785E"/>
    <w:rsid w:val="008A1092"/>
    <w:rsid w:val="008A2D4F"/>
    <w:rsid w:val="008A62DD"/>
    <w:rsid w:val="008B24B8"/>
    <w:rsid w:val="008D3F3A"/>
    <w:rsid w:val="008D529B"/>
    <w:rsid w:val="008D7D40"/>
    <w:rsid w:val="008E453B"/>
    <w:rsid w:val="008E4CB5"/>
    <w:rsid w:val="008E54FC"/>
    <w:rsid w:val="008E57D9"/>
    <w:rsid w:val="008F206F"/>
    <w:rsid w:val="008F321E"/>
    <w:rsid w:val="008F411D"/>
    <w:rsid w:val="008F6BB8"/>
    <w:rsid w:val="009016F4"/>
    <w:rsid w:val="00931A9D"/>
    <w:rsid w:val="009472DA"/>
    <w:rsid w:val="00961610"/>
    <w:rsid w:val="00991AC8"/>
    <w:rsid w:val="0099529A"/>
    <w:rsid w:val="009959BF"/>
    <w:rsid w:val="009A3DF3"/>
    <w:rsid w:val="009A7211"/>
    <w:rsid w:val="009B32EB"/>
    <w:rsid w:val="009B7308"/>
    <w:rsid w:val="009C5464"/>
    <w:rsid w:val="009C62E5"/>
    <w:rsid w:val="009C6EB9"/>
    <w:rsid w:val="009C770D"/>
    <w:rsid w:val="009D027E"/>
    <w:rsid w:val="009D18F6"/>
    <w:rsid w:val="009D4CBE"/>
    <w:rsid w:val="009E28A1"/>
    <w:rsid w:val="009F5810"/>
    <w:rsid w:val="00A042DB"/>
    <w:rsid w:val="00A04F45"/>
    <w:rsid w:val="00A11F83"/>
    <w:rsid w:val="00A14897"/>
    <w:rsid w:val="00A14AB1"/>
    <w:rsid w:val="00A2078A"/>
    <w:rsid w:val="00A335BD"/>
    <w:rsid w:val="00A37B0C"/>
    <w:rsid w:val="00A40BD3"/>
    <w:rsid w:val="00A45AB2"/>
    <w:rsid w:val="00A52E20"/>
    <w:rsid w:val="00A627C6"/>
    <w:rsid w:val="00A87E7F"/>
    <w:rsid w:val="00A93BC3"/>
    <w:rsid w:val="00AA1CD6"/>
    <w:rsid w:val="00AA2045"/>
    <w:rsid w:val="00AA5600"/>
    <w:rsid w:val="00AB0B11"/>
    <w:rsid w:val="00AB17BE"/>
    <w:rsid w:val="00AB2892"/>
    <w:rsid w:val="00AB646D"/>
    <w:rsid w:val="00AD3147"/>
    <w:rsid w:val="00AD5077"/>
    <w:rsid w:val="00AE1A62"/>
    <w:rsid w:val="00AE3386"/>
    <w:rsid w:val="00AE5DAA"/>
    <w:rsid w:val="00AF1E0F"/>
    <w:rsid w:val="00AF1E24"/>
    <w:rsid w:val="00AF7935"/>
    <w:rsid w:val="00B00D7C"/>
    <w:rsid w:val="00B0270C"/>
    <w:rsid w:val="00B03636"/>
    <w:rsid w:val="00B042A5"/>
    <w:rsid w:val="00B10E3D"/>
    <w:rsid w:val="00B1158A"/>
    <w:rsid w:val="00B21D45"/>
    <w:rsid w:val="00B548D3"/>
    <w:rsid w:val="00B60C90"/>
    <w:rsid w:val="00B67E97"/>
    <w:rsid w:val="00B7527B"/>
    <w:rsid w:val="00B85BB5"/>
    <w:rsid w:val="00B936E1"/>
    <w:rsid w:val="00B9437F"/>
    <w:rsid w:val="00B94D1D"/>
    <w:rsid w:val="00BB0CE1"/>
    <w:rsid w:val="00BB3E5A"/>
    <w:rsid w:val="00BC1197"/>
    <w:rsid w:val="00BC713B"/>
    <w:rsid w:val="00BD1593"/>
    <w:rsid w:val="00BD2FC1"/>
    <w:rsid w:val="00BD3235"/>
    <w:rsid w:val="00BD7DDA"/>
    <w:rsid w:val="00BE0996"/>
    <w:rsid w:val="00BE18B3"/>
    <w:rsid w:val="00BE4CEB"/>
    <w:rsid w:val="00BE6EC1"/>
    <w:rsid w:val="00BF4359"/>
    <w:rsid w:val="00BF48B5"/>
    <w:rsid w:val="00BF4ADC"/>
    <w:rsid w:val="00BF6FFF"/>
    <w:rsid w:val="00C12B5E"/>
    <w:rsid w:val="00C14B25"/>
    <w:rsid w:val="00C178DF"/>
    <w:rsid w:val="00C27C0F"/>
    <w:rsid w:val="00C55E8F"/>
    <w:rsid w:val="00C659A0"/>
    <w:rsid w:val="00C660CF"/>
    <w:rsid w:val="00C67500"/>
    <w:rsid w:val="00C751E2"/>
    <w:rsid w:val="00C804C8"/>
    <w:rsid w:val="00C91820"/>
    <w:rsid w:val="00C93CE9"/>
    <w:rsid w:val="00C950A3"/>
    <w:rsid w:val="00C97BA0"/>
    <w:rsid w:val="00CA15FD"/>
    <w:rsid w:val="00CA19AB"/>
    <w:rsid w:val="00CA1C82"/>
    <w:rsid w:val="00CA36C0"/>
    <w:rsid w:val="00CB6AD5"/>
    <w:rsid w:val="00CC77F1"/>
    <w:rsid w:val="00CE06C6"/>
    <w:rsid w:val="00D023D9"/>
    <w:rsid w:val="00D03BDF"/>
    <w:rsid w:val="00D05CA9"/>
    <w:rsid w:val="00D13DCF"/>
    <w:rsid w:val="00D17F3B"/>
    <w:rsid w:val="00D23A63"/>
    <w:rsid w:val="00D24376"/>
    <w:rsid w:val="00D335D5"/>
    <w:rsid w:val="00D34598"/>
    <w:rsid w:val="00D36A54"/>
    <w:rsid w:val="00D55AE3"/>
    <w:rsid w:val="00D57D64"/>
    <w:rsid w:val="00D62468"/>
    <w:rsid w:val="00D63BE5"/>
    <w:rsid w:val="00D71015"/>
    <w:rsid w:val="00D7263E"/>
    <w:rsid w:val="00D7424C"/>
    <w:rsid w:val="00D75604"/>
    <w:rsid w:val="00D85D5C"/>
    <w:rsid w:val="00D91D6D"/>
    <w:rsid w:val="00D936C8"/>
    <w:rsid w:val="00D95343"/>
    <w:rsid w:val="00DB429C"/>
    <w:rsid w:val="00DB5B5E"/>
    <w:rsid w:val="00DC51A8"/>
    <w:rsid w:val="00DC5BA9"/>
    <w:rsid w:val="00DD3192"/>
    <w:rsid w:val="00DD3BC5"/>
    <w:rsid w:val="00DD672D"/>
    <w:rsid w:val="00DD78B5"/>
    <w:rsid w:val="00DE4678"/>
    <w:rsid w:val="00DE7BF9"/>
    <w:rsid w:val="00DF0FA0"/>
    <w:rsid w:val="00DF7495"/>
    <w:rsid w:val="00E00CAF"/>
    <w:rsid w:val="00E05B1F"/>
    <w:rsid w:val="00E06CF5"/>
    <w:rsid w:val="00E16612"/>
    <w:rsid w:val="00E223FE"/>
    <w:rsid w:val="00E32E91"/>
    <w:rsid w:val="00E34E72"/>
    <w:rsid w:val="00E358FF"/>
    <w:rsid w:val="00E5104F"/>
    <w:rsid w:val="00E546EE"/>
    <w:rsid w:val="00E55A66"/>
    <w:rsid w:val="00E64869"/>
    <w:rsid w:val="00E65A4A"/>
    <w:rsid w:val="00E70F48"/>
    <w:rsid w:val="00E77A6A"/>
    <w:rsid w:val="00E77D7C"/>
    <w:rsid w:val="00E80BB7"/>
    <w:rsid w:val="00E834C9"/>
    <w:rsid w:val="00E85CF2"/>
    <w:rsid w:val="00E965CF"/>
    <w:rsid w:val="00EA0CCB"/>
    <w:rsid w:val="00EA2069"/>
    <w:rsid w:val="00EA3173"/>
    <w:rsid w:val="00EA4F2B"/>
    <w:rsid w:val="00EB67D3"/>
    <w:rsid w:val="00EC126E"/>
    <w:rsid w:val="00EC46A5"/>
    <w:rsid w:val="00EE2CE7"/>
    <w:rsid w:val="00EF348E"/>
    <w:rsid w:val="00EF349D"/>
    <w:rsid w:val="00F215DC"/>
    <w:rsid w:val="00F40B2C"/>
    <w:rsid w:val="00F41458"/>
    <w:rsid w:val="00F42402"/>
    <w:rsid w:val="00F62C0D"/>
    <w:rsid w:val="00F64283"/>
    <w:rsid w:val="00F67EAD"/>
    <w:rsid w:val="00F72EBF"/>
    <w:rsid w:val="00F91F65"/>
    <w:rsid w:val="00F92D4A"/>
    <w:rsid w:val="00F93DE1"/>
    <w:rsid w:val="00F96364"/>
    <w:rsid w:val="00F969CA"/>
    <w:rsid w:val="00FC12F2"/>
    <w:rsid w:val="00FC7110"/>
    <w:rsid w:val="00FC7A88"/>
    <w:rsid w:val="00FD0D1D"/>
    <w:rsid w:val="00FD17ED"/>
    <w:rsid w:val="00FD2E39"/>
    <w:rsid w:val="00FE2EB9"/>
    <w:rsid w:val="00FE3A4F"/>
    <w:rsid w:val="00FF21D7"/>
    <w:rsid w:val="00FF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93A52"/>
    <w:pPr>
      <w:keepNext/>
      <w:widowControl w:val="0"/>
      <w:shd w:val="clear" w:color="auto" w:fill="FFFFFF"/>
      <w:spacing w:line="619" w:lineRule="exact"/>
      <w:jc w:val="center"/>
      <w:outlineLvl w:val="0"/>
    </w:pPr>
    <w:rPr>
      <w:b/>
      <w:color w:val="000000"/>
      <w:spacing w:val="-2"/>
      <w:w w:val="135"/>
      <w:position w:val="1"/>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7665C"/>
    <w:pPr>
      <w:jc w:val="center"/>
    </w:pPr>
    <w:rPr>
      <w:b/>
      <w:szCs w:val="20"/>
    </w:rPr>
  </w:style>
  <w:style w:type="paragraph" w:styleId="a4">
    <w:name w:val="caption"/>
    <w:basedOn w:val="a"/>
    <w:qFormat/>
    <w:rsid w:val="00093A52"/>
    <w:pPr>
      <w:jc w:val="center"/>
    </w:pPr>
    <w:rPr>
      <w:b/>
      <w:szCs w:val="20"/>
    </w:rPr>
  </w:style>
  <w:style w:type="paragraph" w:styleId="2">
    <w:name w:val="Body Text 2"/>
    <w:basedOn w:val="a"/>
    <w:rsid w:val="00BE18B3"/>
    <w:pPr>
      <w:spacing w:line="240" w:lineRule="atLeast"/>
    </w:pPr>
    <w:rPr>
      <w:szCs w:val="20"/>
    </w:rPr>
  </w:style>
  <w:style w:type="table" w:styleId="a5">
    <w:name w:val="Table Grid"/>
    <w:basedOn w:val="a1"/>
    <w:rsid w:val="008F2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B042A5"/>
    <w:rPr>
      <w:color w:val="0000FF"/>
      <w:u w:val="single"/>
    </w:rPr>
  </w:style>
  <w:style w:type="paragraph" w:customStyle="1" w:styleId="rtejustify">
    <w:name w:val="rtejustify"/>
    <w:basedOn w:val="a"/>
    <w:rsid w:val="00251F57"/>
    <w:pPr>
      <w:spacing w:after="360"/>
      <w:jc w:val="both"/>
    </w:pPr>
  </w:style>
  <w:style w:type="character" w:styleId="a7">
    <w:name w:val="Strong"/>
    <w:qFormat/>
    <w:rsid w:val="00251F57"/>
    <w:rPr>
      <w:b/>
      <w:bCs/>
    </w:rPr>
  </w:style>
  <w:style w:type="paragraph" w:styleId="a8">
    <w:name w:val="List Paragraph"/>
    <w:basedOn w:val="a"/>
    <w:link w:val="a9"/>
    <w:qFormat/>
    <w:rsid w:val="002F626B"/>
    <w:pPr>
      <w:ind w:left="720"/>
      <w:contextualSpacing/>
    </w:pPr>
  </w:style>
  <w:style w:type="character" w:customStyle="1" w:styleId="a9">
    <w:name w:val="Абзац списка Знак"/>
    <w:link w:val="a8"/>
    <w:locked/>
    <w:rsid w:val="002F626B"/>
    <w:rPr>
      <w:sz w:val="24"/>
      <w:szCs w:val="24"/>
    </w:rPr>
  </w:style>
  <w:style w:type="paragraph" w:styleId="aa">
    <w:name w:val="Balloon Text"/>
    <w:basedOn w:val="a"/>
    <w:link w:val="ab"/>
    <w:rsid w:val="000260F3"/>
    <w:rPr>
      <w:rFonts w:ascii="Tahoma" w:hAnsi="Tahoma" w:cs="Tahoma"/>
      <w:sz w:val="16"/>
      <w:szCs w:val="16"/>
    </w:rPr>
  </w:style>
  <w:style w:type="character" w:customStyle="1" w:styleId="ab">
    <w:name w:val="Текст выноски Знак"/>
    <w:basedOn w:val="a0"/>
    <w:link w:val="aa"/>
    <w:rsid w:val="000260F3"/>
    <w:rPr>
      <w:rFonts w:ascii="Tahoma" w:hAnsi="Tahoma" w:cs="Tahoma"/>
      <w:sz w:val="16"/>
      <w:szCs w:val="16"/>
    </w:rPr>
  </w:style>
  <w:style w:type="paragraph" w:styleId="ac">
    <w:name w:val="Normal (Web)"/>
    <w:basedOn w:val="a"/>
    <w:uiPriority w:val="99"/>
    <w:unhideWhenUsed/>
    <w:rsid w:val="00C9182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93A52"/>
    <w:pPr>
      <w:keepNext/>
      <w:widowControl w:val="0"/>
      <w:shd w:val="clear" w:color="auto" w:fill="FFFFFF"/>
      <w:spacing w:line="619" w:lineRule="exact"/>
      <w:jc w:val="center"/>
      <w:outlineLvl w:val="0"/>
    </w:pPr>
    <w:rPr>
      <w:b/>
      <w:color w:val="000000"/>
      <w:spacing w:val="-2"/>
      <w:w w:val="135"/>
      <w:position w:val="1"/>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7665C"/>
    <w:pPr>
      <w:jc w:val="center"/>
    </w:pPr>
    <w:rPr>
      <w:b/>
      <w:szCs w:val="20"/>
    </w:rPr>
  </w:style>
  <w:style w:type="paragraph" w:styleId="a4">
    <w:name w:val="caption"/>
    <w:basedOn w:val="a"/>
    <w:qFormat/>
    <w:rsid w:val="00093A52"/>
    <w:pPr>
      <w:jc w:val="center"/>
    </w:pPr>
    <w:rPr>
      <w:b/>
      <w:szCs w:val="20"/>
    </w:rPr>
  </w:style>
  <w:style w:type="paragraph" w:styleId="2">
    <w:name w:val="Body Text 2"/>
    <w:basedOn w:val="a"/>
    <w:rsid w:val="00BE18B3"/>
    <w:pPr>
      <w:spacing w:line="240" w:lineRule="atLeast"/>
    </w:pPr>
    <w:rPr>
      <w:szCs w:val="20"/>
    </w:rPr>
  </w:style>
  <w:style w:type="table" w:styleId="a5">
    <w:name w:val="Table Grid"/>
    <w:basedOn w:val="a1"/>
    <w:rsid w:val="008F2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B042A5"/>
    <w:rPr>
      <w:color w:val="0000FF"/>
      <w:u w:val="single"/>
    </w:rPr>
  </w:style>
  <w:style w:type="paragraph" w:customStyle="1" w:styleId="rtejustify">
    <w:name w:val="rtejustify"/>
    <w:basedOn w:val="a"/>
    <w:rsid w:val="00251F57"/>
    <w:pPr>
      <w:spacing w:after="360"/>
      <w:jc w:val="both"/>
    </w:pPr>
  </w:style>
  <w:style w:type="character" w:styleId="a7">
    <w:name w:val="Strong"/>
    <w:qFormat/>
    <w:rsid w:val="00251F57"/>
    <w:rPr>
      <w:b/>
      <w:bCs/>
    </w:rPr>
  </w:style>
  <w:style w:type="paragraph" w:styleId="a8">
    <w:name w:val="List Paragraph"/>
    <w:basedOn w:val="a"/>
    <w:link w:val="a9"/>
    <w:qFormat/>
    <w:rsid w:val="002F626B"/>
    <w:pPr>
      <w:ind w:left="720"/>
      <w:contextualSpacing/>
    </w:pPr>
  </w:style>
  <w:style w:type="character" w:customStyle="1" w:styleId="a9">
    <w:name w:val="Абзац списка Знак"/>
    <w:link w:val="a8"/>
    <w:locked/>
    <w:rsid w:val="002F626B"/>
    <w:rPr>
      <w:sz w:val="24"/>
      <w:szCs w:val="24"/>
    </w:rPr>
  </w:style>
  <w:style w:type="paragraph" w:styleId="aa">
    <w:name w:val="Balloon Text"/>
    <w:basedOn w:val="a"/>
    <w:link w:val="ab"/>
    <w:rsid w:val="000260F3"/>
    <w:rPr>
      <w:rFonts w:ascii="Tahoma" w:hAnsi="Tahoma" w:cs="Tahoma"/>
      <w:sz w:val="16"/>
      <w:szCs w:val="16"/>
    </w:rPr>
  </w:style>
  <w:style w:type="character" w:customStyle="1" w:styleId="ab">
    <w:name w:val="Текст выноски Знак"/>
    <w:basedOn w:val="a0"/>
    <w:link w:val="aa"/>
    <w:rsid w:val="000260F3"/>
    <w:rPr>
      <w:rFonts w:ascii="Tahoma" w:hAnsi="Tahoma" w:cs="Tahoma"/>
      <w:sz w:val="16"/>
      <w:szCs w:val="16"/>
    </w:rPr>
  </w:style>
  <w:style w:type="paragraph" w:styleId="ac">
    <w:name w:val="Normal (Web)"/>
    <w:basedOn w:val="a"/>
    <w:uiPriority w:val="99"/>
    <w:unhideWhenUsed/>
    <w:rsid w:val="00C918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4256">
      <w:bodyDiv w:val="1"/>
      <w:marLeft w:val="0"/>
      <w:marRight w:val="0"/>
      <w:marTop w:val="0"/>
      <w:marBottom w:val="0"/>
      <w:divBdr>
        <w:top w:val="none" w:sz="0" w:space="0" w:color="auto"/>
        <w:left w:val="none" w:sz="0" w:space="0" w:color="auto"/>
        <w:bottom w:val="none" w:sz="0" w:space="0" w:color="auto"/>
        <w:right w:val="none" w:sz="0" w:space="0" w:color="auto"/>
      </w:divBdr>
    </w:div>
    <w:div w:id="160702518">
      <w:bodyDiv w:val="1"/>
      <w:marLeft w:val="0"/>
      <w:marRight w:val="0"/>
      <w:marTop w:val="0"/>
      <w:marBottom w:val="0"/>
      <w:divBdr>
        <w:top w:val="none" w:sz="0" w:space="0" w:color="auto"/>
        <w:left w:val="none" w:sz="0" w:space="0" w:color="auto"/>
        <w:bottom w:val="none" w:sz="0" w:space="0" w:color="auto"/>
        <w:right w:val="none" w:sz="0" w:space="0" w:color="auto"/>
      </w:divBdr>
    </w:div>
    <w:div w:id="167411632">
      <w:bodyDiv w:val="1"/>
      <w:marLeft w:val="0"/>
      <w:marRight w:val="0"/>
      <w:marTop w:val="0"/>
      <w:marBottom w:val="0"/>
      <w:divBdr>
        <w:top w:val="none" w:sz="0" w:space="0" w:color="auto"/>
        <w:left w:val="none" w:sz="0" w:space="0" w:color="auto"/>
        <w:bottom w:val="none" w:sz="0" w:space="0" w:color="auto"/>
        <w:right w:val="none" w:sz="0" w:space="0" w:color="auto"/>
      </w:divBdr>
    </w:div>
    <w:div w:id="167913695">
      <w:bodyDiv w:val="1"/>
      <w:marLeft w:val="0"/>
      <w:marRight w:val="0"/>
      <w:marTop w:val="0"/>
      <w:marBottom w:val="0"/>
      <w:divBdr>
        <w:top w:val="none" w:sz="0" w:space="0" w:color="auto"/>
        <w:left w:val="none" w:sz="0" w:space="0" w:color="auto"/>
        <w:bottom w:val="none" w:sz="0" w:space="0" w:color="auto"/>
        <w:right w:val="none" w:sz="0" w:space="0" w:color="auto"/>
      </w:divBdr>
    </w:div>
    <w:div w:id="198318967">
      <w:bodyDiv w:val="1"/>
      <w:marLeft w:val="0"/>
      <w:marRight w:val="0"/>
      <w:marTop w:val="0"/>
      <w:marBottom w:val="0"/>
      <w:divBdr>
        <w:top w:val="none" w:sz="0" w:space="0" w:color="auto"/>
        <w:left w:val="none" w:sz="0" w:space="0" w:color="auto"/>
        <w:bottom w:val="none" w:sz="0" w:space="0" w:color="auto"/>
        <w:right w:val="none" w:sz="0" w:space="0" w:color="auto"/>
      </w:divBdr>
    </w:div>
    <w:div w:id="247466084">
      <w:bodyDiv w:val="1"/>
      <w:marLeft w:val="0"/>
      <w:marRight w:val="0"/>
      <w:marTop w:val="0"/>
      <w:marBottom w:val="0"/>
      <w:divBdr>
        <w:top w:val="none" w:sz="0" w:space="0" w:color="auto"/>
        <w:left w:val="none" w:sz="0" w:space="0" w:color="auto"/>
        <w:bottom w:val="none" w:sz="0" w:space="0" w:color="auto"/>
        <w:right w:val="none" w:sz="0" w:space="0" w:color="auto"/>
      </w:divBdr>
    </w:div>
    <w:div w:id="258802546">
      <w:bodyDiv w:val="1"/>
      <w:marLeft w:val="0"/>
      <w:marRight w:val="0"/>
      <w:marTop w:val="0"/>
      <w:marBottom w:val="0"/>
      <w:divBdr>
        <w:top w:val="none" w:sz="0" w:space="0" w:color="auto"/>
        <w:left w:val="none" w:sz="0" w:space="0" w:color="auto"/>
        <w:bottom w:val="none" w:sz="0" w:space="0" w:color="auto"/>
        <w:right w:val="none" w:sz="0" w:space="0" w:color="auto"/>
      </w:divBdr>
    </w:div>
    <w:div w:id="283192476">
      <w:bodyDiv w:val="1"/>
      <w:marLeft w:val="0"/>
      <w:marRight w:val="0"/>
      <w:marTop w:val="0"/>
      <w:marBottom w:val="0"/>
      <w:divBdr>
        <w:top w:val="none" w:sz="0" w:space="0" w:color="auto"/>
        <w:left w:val="none" w:sz="0" w:space="0" w:color="auto"/>
        <w:bottom w:val="none" w:sz="0" w:space="0" w:color="auto"/>
        <w:right w:val="none" w:sz="0" w:space="0" w:color="auto"/>
      </w:divBdr>
    </w:div>
    <w:div w:id="293798339">
      <w:bodyDiv w:val="1"/>
      <w:marLeft w:val="0"/>
      <w:marRight w:val="0"/>
      <w:marTop w:val="0"/>
      <w:marBottom w:val="0"/>
      <w:divBdr>
        <w:top w:val="none" w:sz="0" w:space="0" w:color="auto"/>
        <w:left w:val="none" w:sz="0" w:space="0" w:color="auto"/>
        <w:bottom w:val="none" w:sz="0" w:space="0" w:color="auto"/>
        <w:right w:val="none" w:sz="0" w:space="0" w:color="auto"/>
      </w:divBdr>
    </w:div>
    <w:div w:id="303462958">
      <w:bodyDiv w:val="1"/>
      <w:marLeft w:val="0"/>
      <w:marRight w:val="0"/>
      <w:marTop w:val="0"/>
      <w:marBottom w:val="0"/>
      <w:divBdr>
        <w:top w:val="none" w:sz="0" w:space="0" w:color="auto"/>
        <w:left w:val="none" w:sz="0" w:space="0" w:color="auto"/>
        <w:bottom w:val="none" w:sz="0" w:space="0" w:color="auto"/>
        <w:right w:val="none" w:sz="0" w:space="0" w:color="auto"/>
      </w:divBdr>
    </w:div>
    <w:div w:id="320230358">
      <w:bodyDiv w:val="1"/>
      <w:marLeft w:val="0"/>
      <w:marRight w:val="0"/>
      <w:marTop w:val="0"/>
      <w:marBottom w:val="0"/>
      <w:divBdr>
        <w:top w:val="none" w:sz="0" w:space="0" w:color="auto"/>
        <w:left w:val="none" w:sz="0" w:space="0" w:color="auto"/>
        <w:bottom w:val="none" w:sz="0" w:space="0" w:color="auto"/>
        <w:right w:val="none" w:sz="0" w:space="0" w:color="auto"/>
      </w:divBdr>
    </w:div>
    <w:div w:id="321007123">
      <w:bodyDiv w:val="1"/>
      <w:marLeft w:val="0"/>
      <w:marRight w:val="0"/>
      <w:marTop w:val="0"/>
      <w:marBottom w:val="0"/>
      <w:divBdr>
        <w:top w:val="none" w:sz="0" w:space="0" w:color="auto"/>
        <w:left w:val="none" w:sz="0" w:space="0" w:color="auto"/>
        <w:bottom w:val="none" w:sz="0" w:space="0" w:color="auto"/>
        <w:right w:val="none" w:sz="0" w:space="0" w:color="auto"/>
      </w:divBdr>
    </w:div>
    <w:div w:id="356852857">
      <w:bodyDiv w:val="1"/>
      <w:marLeft w:val="0"/>
      <w:marRight w:val="0"/>
      <w:marTop w:val="0"/>
      <w:marBottom w:val="0"/>
      <w:divBdr>
        <w:top w:val="none" w:sz="0" w:space="0" w:color="auto"/>
        <w:left w:val="none" w:sz="0" w:space="0" w:color="auto"/>
        <w:bottom w:val="none" w:sz="0" w:space="0" w:color="auto"/>
        <w:right w:val="none" w:sz="0" w:space="0" w:color="auto"/>
      </w:divBdr>
    </w:div>
    <w:div w:id="364017204">
      <w:bodyDiv w:val="1"/>
      <w:marLeft w:val="0"/>
      <w:marRight w:val="0"/>
      <w:marTop w:val="0"/>
      <w:marBottom w:val="0"/>
      <w:divBdr>
        <w:top w:val="none" w:sz="0" w:space="0" w:color="auto"/>
        <w:left w:val="none" w:sz="0" w:space="0" w:color="auto"/>
        <w:bottom w:val="none" w:sz="0" w:space="0" w:color="auto"/>
        <w:right w:val="none" w:sz="0" w:space="0" w:color="auto"/>
      </w:divBdr>
    </w:div>
    <w:div w:id="373503231">
      <w:bodyDiv w:val="1"/>
      <w:marLeft w:val="0"/>
      <w:marRight w:val="0"/>
      <w:marTop w:val="0"/>
      <w:marBottom w:val="0"/>
      <w:divBdr>
        <w:top w:val="none" w:sz="0" w:space="0" w:color="auto"/>
        <w:left w:val="none" w:sz="0" w:space="0" w:color="auto"/>
        <w:bottom w:val="none" w:sz="0" w:space="0" w:color="auto"/>
        <w:right w:val="none" w:sz="0" w:space="0" w:color="auto"/>
      </w:divBdr>
    </w:div>
    <w:div w:id="395663096">
      <w:bodyDiv w:val="1"/>
      <w:marLeft w:val="0"/>
      <w:marRight w:val="0"/>
      <w:marTop w:val="0"/>
      <w:marBottom w:val="0"/>
      <w:divBdr>
        <w:top w:val="none" w:sz="0" w:space="0" w:color="auto"/>
        <w:left w:val="none" w:sz="0" w:space="0" w:color="auto"/>
        <w:bottom w:val="none" w:sz="0" w:space="0" w:color="auto"/>
        <w:right w:val="none" w:sz="0" w:space="0" w:color="auto"/>
      </w:divBdr>
    </w:div>
    <w:div w:id="428737292">
      <w:bodyDiv w:val="1"/>
      <w:marLeft w:val="0"/>
      <w:marRight w:val="0"/>
      <w:marTop w:val="0"/>
      <w:marBottom w:val="0"/>
      <w:divBdr>
        <w:top w:val="none" w:sz="0" w:space="0" w:color="auto"/>
        <w:left w:val="none" w:sz="0" w:space="0" w:color="auto"/>
        <w:bottom w:val="none" w:sz="0" w:space="0" w:color="auto"/>
        <w:right w:val="none" w:sz="0" w:space="0" w:color="auto"/>
      </w:divBdr>
    </w:div>
    <w:div w:id="465200935">
      <w:bodyDiv w:val="1"/>
      <w:marLeft w:val="0"/>
      <w:marRight w:val="0"/>
      <w:marTop w:val="0"/>
      <w:marBottom w:val="0"/>
      <w:divBdr>
        <w:top w:val="none" w:sz="0" w:space="0" w:color="auto"/>
        <w:left w:val="none" w:sz="0" w:space="0" w:color="auto"/>
        <w:bottom w:val="none" w:sz="0" w:space="0" w:color="auto"/>
        <w:right w:val="none" w:sz="0" w:space="0" w:color="auto"/>
      </w:divBdr>
    </w:div>
    <w:div w:id="482695696">
      <w:bodyDiv w:val="1"/>
      <w:marLeft w:val="0"/>
      <w:marRight w:val="0"/>
      <w:marTop w:val="0"/>
      <w:marBottom w:val="0"/>
      <w:divBdr>
        <w:top w:val="none" w:sz="0" w:space="0" w:color="auto"/>
        <w:left w:val="none" w:sz="0" w:space="0" w:color="auto"/>
        <w:bottom w:val="none" w:sz="0" w:space="0" w:color="auto"/>
        <w:right w:val="none" w:sz="0" w:space="0" w:color="auto"/>
      </w:divBdr>
    </w:div>
    <w:div w:id="483746068">
      <w:bodyDiv w:val="1"/>
      <w:marLeft w:val="0"/>
      <w:marRight w:val="0"/>
      <w:marTop w:val="0"/>
      <w:marBottom w:val="0"/>
      <w:divBdr>
        <w:top w:val="none" w:sz="0" w:space="0" w:color="auto"/>
        <w:left w:val="none" w:sz="0" w:space="0" w:color="auto"/>
        <w:bottom w:val="none" w:sz="0" w:space="0" w:color="auto"/>
        <w:right w:val="none" w:sz="0" w:space="0" w:color="auto"/>
      </w:divBdr>
    </w:div>
    <w:div w:id="507909573">
      <w:bodyDiv w:val="1"/>
      <w:marLeft w:val="0"/>
      <w:marRight w:val="0"/>
      <w:marTop w:val="0"/>
      <w:marBottom w:val="0"/>
      <w:divBdr>
        <w:top w:val="none" w:sz="0" w:space="0" w:color="auto"/>
        <w:left w:val="none" w:sz="0" w:space="0" w:color="auto"/>
        <w:bottom w:val="none" w:sz="0" w:space="0" w:color="auto"/>
        <w:right w:val="none" w:sz="0" w:space="0" w:color="auto"/>
      </w:divBdr>
    </w:div>
    <w:div w:id="524176125">
      <w:bodyDiv w:val="1"/>
      <w:marLeft w:val="0"/>
      <w:marRight w:val="0"/>
      <w:marTop w:val="0"/>
      <w:marBottom w:val="0"/>
      <w:divBdr>
        <w:top w:val="none" w:sz="0" w:space="0" w:color="auto"/>
        <w:left w:val="none" w:sz="0" w:space="0" w:color="auto"/>
        <w:bottom w:val="none" w:sz="0" w:space="0" w:color="auto"/>
        <w:right w:val="none" w:sz="0" w:space="0" w:color="auto"/>
      </w:divBdr>
    </w:div>
    <w:div w:id="554395017">
      <w:bodyDiv w:val="1"/>
      <w:marLeft w:val="0"/>
      <w:marRight w:val="0"/>
      <w:marTop w:val="0"/>
      <w:marBottom w:val="0"/>
      <w:divBdr>
        <w:top w:val="none" w:sz="0" w:space="0" w:color="auto"/>
        <w:left w:val="none" w:sz="0" w:space="0" w:color="auto"/>
        <w:bottom w:val="none" w:sz="0" w:space="0" w:color="auto"/>
        <w:right w:val="none" w:sz="0" w:space="0" w:color="auto"/>
      </w:divBdr>
    </w:div>
    <w:div w:id="613175777">
      <w:bodyDiv w:val="1"/>
      <w:marLeft w:val="0"/>
      <w:marRight w:val="0"/>
      <w:marTop w:val="0"/>
      <w:marBottom w:val="0"/>
      <w:divBdr>
        <w:top w:val="none" w:sz="0" w:space="0" w:color="auto"/>
        <w:left w:val="none" w:sz="0" w:space="0" w:color="auto"/>
        <w:bottom w:val="none" w:sz="0" w:space="0" w:color="auto"/>
        <w:right w:val="none" w:sz="0" w:space="0" w:color="auto"/>
      </w:divBdr>
    </w:div>
    <w:div w:id="662663084">
      <w:bodyDiv w:val="1"/>
      <w:marLeft w:val="0"/>
      <w:marRight w:val="0"/>
      <w:marTop w:val="0"/>
      <w:marBottom w:val="0"/>
      <w:divBdr>
        <w:top w:val="none" w:sz="0" w:space="0" w:color="auto"/>
        <w:left w:val="none" w:sz="0" w:space="0" w:color="auto"/>
        <w:bottom w:val="none" w:sz="0" w:space="0" w:color="auto"/>
        <w:right w:val="none" w:sz="0" w:space="0" w:color="auto"/>
      </w:divBdr>
    </w:div>
    <w:div w:id="740562964">
      <w:bodyDiv w:val="1"/>
      <w:marLeft w:val="0"/>
      <w:marRight w:val="0"/>
      <w:marTop w:val="0"/>
      <w:marBottom w:val="0"/>
      <w:divBdr>
        <w:top w:val="none" w:sz="0" w:space="0" w:color="auto"/>
        <w:left w:val="none" w:sz="0" w:space="0" w:color="auto"/>
        <w:bottom w:val="none" w:sz="0" w:space="0" w:color="auto"/>
        <w:right w:val="none" w:sz="0" w:space="0" w:color="auto"/>
      </w:divBdr>
    </w:div>
    <w:div w:id="749155500">
      <w:bodyDiv w:val="1"/>
      <w:marLeft w:val="0"/>
      <w:marRight w:val="0"/>
      <w:marTop w:val="0"/>
      <w:marBottom w:val="0"/>
      <w:divBdr>
        <w:top w:val="none" w:sz="0" w:space="0" w:color="auto"/>
        <w:left w:val="none" w:sz="0" w:space="0" w:color="auto"/>
        <w:bottom w:val="none" w:sz="0" w:space="0" w:color="auto"/>
        <w:right w:val="none" w:sz="0" w:space="0" w:color="auto"/>
      </w:divBdr>
    </w:div>
    <w:div w:id="770245843">
      <w:bodyDiv w:val="1"/>
      <w:marLeft w:val="0"/>
      <w:marRight w:val="0"/>
      <w:marTop w:val="0"/>
      <w:marBottom w:val="0"/>
      <w:divBdr>
        <w:top w:val="none" w:sz="0" w:space="0" w:color="auto"/>
        <w:left w:val="none" w:sz="0" w:space="0" w:color="auto"/>
        <w:bottom w:val="none" w:sz="0" w:space="0" w:color="auto"/>
        <w:right w:val="none" w:sz="0" w:space="0" w:color="auto"/>
      </w:divBdr>
    </w:div>
    <w:div w:id="813329576">
      <w:bodyDiv w:val="1"/>
      <w:marLeft w:val="0"/>
      <w:marRight w:val="0"/>
      <w:marTop w:val="0"/>
      <w:marBottom w:val="0"/>
      <w:divBdr>
        <w:top w:val="none" w:sz="0" w:space="0" w:color="auto"/>
        <w:left w:val="none" w:sz="0" w:space="0" w:color="auto"/>
        <w:bottom w:val="none" w:sz="0" w:space="0" w:color="auto"/>
        <w:right w:val="none" w:sz="0" w:space="0" w:color="auto"/>
      </w:divBdr>
    </w:div>
    <w:div w:id="823618494">
      <w:bodyDiv w:val="1"/>
      <w:marLeft w:val="0"/>
      <w:marRight w:val="0"/>
      <w:marTop w:val="0"/>
      <w:marBottom w:val="0"/>
      <w:divBdr>
        <w:top w:val="none" w:sz="0" w:space="0" w:color="auto"/>
        <w:left w:val="none" w:sz="0" w:space="0" w:color="auto"/>
        <w:bottom w:val="none" w:sz="0" w:space="0" w:color="auto"/>
        <w:right w:val="none" w:sz="0" w:space="0" w:color="auto"/>
      </w:divBdr>
    </w:div>
    <w:div w:id="830603271">
      <w:bodyDiv w:val="1"/>
      <w:marLeft w:val="0"/>
      <w:marRight w:val="0"/>
      <w:marTop w:val="0"/>
      <w:marBottom w:val="0"/>
      <w:divBdr>
        <w:top w:val="none" w:sz="0" w:space="0" w:color="auto"/>
        <w:left w:val="none" w:sz="0" w:space="0" w:color="auto"/>
        <w:bottom w:val="none" w:sz="0" w:space="0" w:color="auto"/>
        <w:right w:val="none" w:sz="0" w:space="0" w:color="auto"/>
      </w:divBdr>
    </w:div>
    <w:div w:id="851408238">
      <w:bodyDiv w:val="1"/>
      <w:marLeft w:val="0"/>
      <w:marRight w:val="0"/>
      <w:marTop w:val="0"/>
      <w:marBottom w:val="0"/>
      <w:divBdr>
        <w:top w:val="none" w:sz="0" w:space="0" w:color="auto"/>
        <w:left w:val="none" w:sz="0" w:space="0" w:color="auto"/>
        <w:bottom w:val="none" w:sz="0" w:space="0" w:color="auto"/>
        <w:right w:val="none" w:sz="0" w:space="0" w:color="auto"/>
      </w:divBdr>
    </w:div>
    <w:div w:id="876503158">
      <w:bodyDiv w:val="1"/>
      <w:marLeft w:val="0"/>
      <w:marRight w:val="0"/>
      <w:marTop w:val="0"/>
      <w:marBottom w:val="0"/>
      <w:divBdr>
        <w:top w:val="none" w:sz="0" w:space="0" w:color="auto"/>
        <w:left w:val="none" w:sz="0" w:space="0" w:color="auto"/>
        <w:bottom w:val="none" w:sz="0" w:space="0" w:color="auto"/>
        <w:right w:val="none" w:sz="0" w:space="0" w:color="auto"/>
      </w:divBdr>
    </w:div>
    <w:div w:id="900098632">
      <w:bodyDiv w:val="1"/>
      <w:marLeft w:val="0"/>
      <w:marRight w:val="0"/>
      <w:marTop w:val="0"/>
      <w:marBottom w:val="0"/>
      <w:divBdr>
        <w:top w:val="none" w:sz="0" w:space="0" w:color="auto"/>
        <w:left w:val="none" w:sz="0" w:space="0" w:color="auto"/>
        <w:bottom w:val="none" w:sz="0" w:space="0" w:color="auto"/>
        <w:right w:val="none" w:sz="0" w:space="0" w:color="auto"/>
      </w:divBdr>
    </w:div>
    <w:div w:id="907958796">
      <w:bodyDiv w:val="1"/>
      <w:marLeft w:val="0"/>
      <w:marRight w:val="0"/>
      <w:marTop w:val="0"/>
      <w:marBottom w:val="0"/>
      <w:divBdr>
        <w:top w:val="none" w:sz="0" w:space="0" w:color="auto"/>
        <w:left w:val="none" w:sz="0" w:space="0" w:color="auto"/>
        <w:bottom w:val="none" w:sz="0" w:space="0" w:color="auto"/>
        <w:right w:val="none" w:sz="0" w:space="0" w:color="auto"/>
      </w:divBdr>
    </w:div>
    <w:div w:id="954479153">
      <w:bodyDiv w:val="1"/>
      <w:marLeft w:val="0"/>
      <w:marRight w:val="0"/>
      <w:marTop w:val="0"/>
      <w:marBottom w:val="0"/>
      <w:divBdr>
        <w:top w:val="none" w:sz="0" w:space="0" w:color="auto"/>
        <w:left w:val="none" w:sz="0" w:space="0" w:color="auto"/>
        <w:bottom w:val="none" w:sz="0" w:space="0" w:color="auto"/>
        <w:right w:val="none" w:sz="0" w:space="0" w:color="auto"/>
      </w:divBdr>
    </w:div>
    <w:div w:id="954748910">
      <w:bodyDiv w:val="1"/>
      <w:marLeft w:val="0"/>
      <w:marRight w:val="0"/>
      <w:marTop w:val="0"/>
      <w:marBottom w:val="0"/>
      <w:divBdr>
        <w:top w:val="none" w:sz="0" w:space="0" w:color="auto"/>
        <w:left w:val="none" w:sz="0" w:space="0" w:color="auto"/>
        <w:bottom w:val="none" w:sz="0" w:space="0" w:color="auto"/>
        <w:right w:val="none" w:sz="0" w:space="0" w:color="auto"/>
      </w:divBdr>
    </w:div>
    <w:div w:id="959461031">
      <w:bodyDiv w:val="1"/>
      <w:marLeft w:val="0"/>
      <w:marRight w:val="0"/>
      <w:marTop w:val="0"/>
      <w:marBottom w:val="0"/>
      <w:divBdr>
        <w:top w:val="none" w:sz="0" w:space="0" w:color="auto"/>
        <w:left w:val="none" w:sz="0" w:space="0" w:color="auto"/>
        <w:bottom w:val="none" w:sz="0" w:space="0" w:color="auto"/>
        <w:right w:val="none" w:sz="0" w:space="0" w:color="auto"/>
      </w:divBdr>
    </w:div>
    <w:div w:id="975454830">
      <w:bodyDiv w:val="1"/>
      <w:marLeft w:val="0"/>
      <w:marRight w:val="0"/>
      <w:marTop w:val="0"/>
      <w:marBottom w:val="0"/>
      <w:divBdr>
        <w:top w:val="none" w:sz="0" w:space="0" w:color="auto"/>
        <w:left w:val="none" w:sz="0" w:space="0" w:color="auto"/>
        <w:bottom w:val="none" w:sz="0" w:space="0" w:color="auto"/>
        <w:right w:val="none" w:sz="0" w:space="0" w:color="auto"/>
      </w:divBdr>
    </w:div>
    <w:div w:id="1043485127">
      <w:bodyDiv w:val="1"/>
      <w:marLeft w:val="0"/>
      <w:marRight w:val="0"/>
      <w:marTop w:val="0"/>
      <w:marBottom w:val="0"/>
      <w:divBdr>
        <w:top w:val="none" w:sz="0" w:space="0" w:color="auto"/>
        <w:left w:val="none" w:sz="0" w:space="0" w:color="auto"/>
        <w:bottom w:val="none" w:sz="0" w:space="0" w:color="auto"/>
        <w:right w:val="none" w:sz="0" w:space="0" w:color="auto"/>
      </w:divBdr>
    </w:div>
    <w:div w:id="1171020535">
      <w:bodyDiv w:val="1"/>
      <w:marLeft w:val="0"/>
      <w:marRight w:val="0"/>
      <w:marTop w:val="0"/>
      <w:marBottom w:val="0"/>
      <w:divBdr>
        <w:top w:val="none" w:sz="0" w:space="0" w:color="auto"/>
        <w:left w:val="none" w:sz="0" w:space="0" w:color="auto"/>
        <w:bottom w:val="none" w:sz="0" w:space="0" w:color="auto"/>
        <w:right w:val="none" w:sz="0" w:space="0" w:color="auto"/>
      </w:divBdr>
      <w:divsChild>
        <w:div w:id="63844464">
          <w:marLeft w:val="0"/>
          <w:marRight w:val="0"/>
          <w:marTop w:val="0"/>
          <w:marBottom w:val="0"/>
          <w:divBdr>
            <w:top w:val="none" w:sz="0" w:space="0" w:color="auto"/>
            <w:left w:val="none" w:sz="0" w:space="0" w:color="auto"/>
            <w:bottom w:val="none" w:sz="0" w:space="0" w:color="auto"/>
            <w:right w:val="none" w:sz="0" w:space="0" w:color="auto"/>
          </w:divBdr>
        </w:div>
      </w:divsChild>
    </w:div>
    <w:div w:id="1204713057">
      <w:bodyDiv w:val="1"/>
      <w:marLeft w:val="0"/>
      <w:marRight w:val="0"/>
      <w:marTop w:val="0"/>
      <w:marBottom w:val="0"/>
      <w:divBdr>
        <w:top w:val="none" w:sz="0" w:space="0" w:color="auto"/>
        <w:left w:val="none" w:sz="0" w:space="0" w:color="auto"/>
        <w:bottom w:val="none" w:sz="0" w:space="0" w:color="auto"/>
        <w:right w:val="none" w:sz="0" w:space="0" w:color="auto"/>
      </w:divBdr>
    </w:div>
    <w:div w:id="1216431142">
      <w:bodyDiv w:val="1"/>
      <w:marLeft w:val="0"/>
      <w:marRight w:val="0"/>
      <w:marTop w:val="0"/>
      <w:marBottom w:val="0"/>
      <w:divBdr>
        <w:top w:val="none" w:sz="0" w:space="0" w:color="auto"/>
        <w:left w:val="none" w:sz="0" w:space="0" w:color="auto"/>
        <w:bottom w:val="none" w:sz="0" w:space="0" w:color="auto"/>
        <w:right w:val="none" w:sz="0" w:space="0" w:color="auto"/>
      </w:divBdr>
    </w:div>
    <w:div w:id="1258516750">
      <w:bodyDiv w:val="1"/>
      <w:marLeft w:val="0"/>
      <w:marRight w:val="0"/>
      <w:marTop w:val="0"/>
      <w:marBottom w:val="0"/>
      <w:divBdr>
        <w:top w:val="none" w:sz="0" w:space="0" w:color="auto"/>
        <w:left w:val="none" w:sz="0" w:space="0" w:color="auto"/>
        <w:bottom w:val="none" w:sz="0" w:space="0" w:color="auto"/>
        <w:right w:val="none" w:sz="0" w:space="0" w:color="auto"/>
      </w:divBdr>
    </w:div>
    <w:div w:id="1278678699">
      <w:bodyDiv w:val="1"/>
      <w:marLeft w:val="0"/>
      <w:marRight w:val="0"/>
      <w:marTop w:val="0"/>
      <w:marBottom w:val="0"/>
      <w:divBdr>
        <w:top w:val="none" w:sz="0" w:space="0" w:color="auto"/>
        <w:left w:val="none" w:sz="0" w:space="0" w:color="auto"/>
        <w:bottom w:val="none" w:sz="0" w:space="0" w:color="auto"/>
        <w:right w:val="none" w:sz="0" w:space="0" w:color="auto"/>
      </w:divBdr>
    </w:div>
    <w:div w:id="1287203434">
      <w:bodyDiv w:val="1"/>
      <w:marLeft w:val="0"/>
      <w:marRight w:val="0"/>
      <w:marTop w:val="0"/>
      <w:marBottom w:val="0"/>
      <w:divBdr>
        <w:top w:val="none" w:sz="0" w:space="0" w:color="auto"/>
        <w:left w:val="none" w:sz="0" w:space="0" w:color="auto"/>
        <w:bottom w:val="none" w:sz="0" w:space="0" w:color="auto"/>
        <w:right w:val="none" w:sz="0" w:space="0" w:color="auto"/>
      </w:divBdr>
    </w:div>
    <w:div w:id="1332754680">
      <w:bodyDiv w:val="1"/>
      <w:marLeft w:val="0"/>
      <w:marRight w:val="0"/>
      <w:marTop w:val="0"/>
      <w:marBottom w:val="0"/>
      <w:divBdr>
        <w:top w:val="none" w:sz="0" w:space="0" w:color="auto"/>
        <w:left w:val="none" w:sz="0" w:space="0" w:color="auto"/>
        <w:bottom w:val="none" w:sz="0" w:space="0" w:color="auto"/>
        <w:right w:val="none" w:sz="0" w:space="0" w:color="auto"/>
      </w:divBdr>
    </w:div>
    <w:div w:id="1334917993">
      <w:bodyDiv w:val="1"/>
      <w:marLeft w:val="0"/>
      <w:marRight w:val="0"/>
      <w:marTop w:val="0"/>
      <w:marBottom w:val="0"/>
      <w:divBdr>
        <w:top w:val="none" w:sz="0" w:space="0" w:color="auto"/>
        <w:left w:val="none" w:sz="0" w:space="0" w:color="auto"/>
        <w:bottom w:val="none" w:sz="0" w:space="0" w:color="auto"/>
        <w:right w:val="none" w:sz="0" w:space="0" w:color="auto"/>
      </w:divBdr>
    </w:div>
    <w:div w:id="1337877308">
      <w:bodyDiv w:val="1"/>
      <w:marLeft w:val="0"/>
      <w:marRight w:val="0"/>
      <w:marTop w:val="0"/>
      <w:marBottom w:val="0"/>
      <w:divBdr>
        <w:top w:val="none" w:sz="0" w:space="0" w:color="auto"/>
        <w:left w:val="none" w:sz="0" w:space="0" w:color="auto"/>
        <w:bottom w:val="none" w:sz="0" w:space="0" w:color="auto"/>
        <w:right w:val="none" w:sz="0" w:space="0" w:color="auto"/>
      </w:divBdr>
    </w:div>
    <w:div w:id="1341002078">
      <w:bodyDiv w:val="1"/>
      <w:marLeft w:val="0"/>
      <w:marRight w:val="0"/>
      <w:marTop w:val="0"/>
      <w:marBottom w:val="0"/>
      <w:divBdr>
        <w:top w:val="none" w:sz="0" w:space="0" w:color="auto"/>
        <w:left w:val="none" w:sz="0" w:space="0" w:color="auto"/>
        <w:bottom w:val="none" w:sz="0" w:space="0" w:color="auto"/>
        <w:right w:val="none" w:sz="0" w:space="0" w:color="auto"/>
      </w:divBdr>
    </w:div>
    <w:div w:id="1393847127">
      <w:bodyDiv w:val="1"/>
      <w:marLeft w:val="0"/>
      <w:marRight w:val="0"/>
      <w:marTop w:val="0"/>
      <w:marBottom w:val="0"/>
      <w:divBdr>
        <w:top w:val="none" w:sz="0" w:space="0" w:color="auto"/>
        <w:left w:val="none" w:sz="0" w:space="0" w:color="auto"/>
        <w:bottom w:val="none" w:sz="0" w:space="0" w:color="auto"/>
        <w:right w:val="none" w:sz="0" w:space="0" w:color="auto"/>
      </w:divBdr>
    </w:div>
    <w:div w:id="1419523017">
      <w:bodyDiv w:val="1"/>
      <w:marLeft w:val="0"/>
      <w:marRight w:val="0"/>
      <w:marTop w:val="0"/>
      <w:marBottom w:val="0"/>
      <w:divBdr>
        <w:top w:val="none" w:sz="0" w:space="0" w:color="auto"/>
        <w:left w:val="none" w:sz="0" w:space="0" w:color="auto"/>
        <w:bottom w:val="none" w:sz="0" w:space="0" w:color="auto"/>
        <w:right w:val="none" w:sz="0" w:space="0" w:color="auto"/>
      </w:divBdr>
    </w:div>
    <w:div w:id="1433158918">
      <w:bodyDiv w:val="1"/>
      <w:marLeft w:val="0"/>
      <w:marRight w:val="0"/>
      <w:marTop w:val="0"/>
      <w:marBottom w:val="0"/>
      <w:divBdr>
        <w:top w:val="none" w:sz="0" w:space="0" w:color="auto"/>
        <w:left w:val="none" w:sz="0" w:space="0" w:color="auto"/>
        <w:bottom w:val="none" w:sz="0" w:space="0" w:color="auto"/>
        <w:right w:val="none" w:sz="0" w:space="0" w:color="auto"/>
      </w:divBdr>
    </w:div>
    <w:div w:id="1465083190">
      <w:bodyDiv w:val="1"/>
      <w:marLeft w:val="0"/>
      <w:marRight w:val="0"/>
      <w:marTop w:val="0"/>
      <w:marBottom w:val="0"/>
      <w:divBdr>
        <w:top w:val="none" w:sz="0" w:space="0" w:color="auto"/>
        <w:left w:val="none" w:sz="0" w:space="0" w:color="auto"/>
        <w:bottom w:val="none" w:sz="0" w:space="0" w:color="auto"/>
        <w:right w:val="none" w:sz="0" w:space="0" w:color="auto"/>
      </w:divBdr>
    </w:div>
    <w:div w:id="1481726266">
      <w:bodyDiv w:val="1"/>
      <w:marLeft w:val="0"/>
      <w:marRight w:val="0"/>
      <w:marTop w:val="0"/>
      <w:marBottom w:val="0"/>
      <w:divBdr>
        <w:top w:val="none" w:sz="0" w:space="0" w:color="auto"/>
        <w:left w:val="none" w:sz="0" w:space="0" w:color="auto"/>
        <w:bottom w:val="none" w:sz="0" w:space="0" w:color="auto"/>
        <w:right w:val="none" w:sz="0" w:space="0" w:color="auto"/>
      </w:divBdr>
    </w:div>
    <w:div w:id="1519386925">
      <w:bodyDiv w:val="1"/>
      <w:marLeft w:val="0"/>
      <w:marRight w:val="0"/>
      <w:marTop w:val="0"/>
      <w:marBottom w:val="0"/>
      <w:divBdr>
        <w:top w:val="none" w:sz="0" w:space="0" w:color="auto"/>
        <w:left w:val="none" w:sz="0" w:space="0" w:color="auto"/>
        <w:bottom w:val="none" w:sz="0" w:space="0" w:color="auto"/>
        <w:right w:val="none" w:sz="0" w:space="0" w:color="auto"/>
      </w:divBdr>
    </w:div>
    <w:div w:id="1523474827">
      <w:bodyDiv w:val="1"/>
      <w:marLeft w:val="0"/>
      <w:marRight w:val="0"/>
      <w:marTop w:val="0"/>
      <w:marBottom w:val="0"/>
      <w:divBdr>
        <w:top w:val="none" w:sz="0" w:space="0" w:color="auto"/>
        <w:left w:val="none" w:sz="0" w:space="0" w:color="auto"/>
        <w:bottom w:val="none" w:sz="0" w:space="0" w:color="auto"/>
        <w:right w:val="none" w:sz="0" w:space="0" w:color="auto"/>
      </w:divBdr>
      <w:divsChild>
        <w:div w:id="799541788">
          <w:marLeft w:val="0"/>
          <w:marRight w:val="0"/>
          <w:marTop w:val="0"/>
          <w:marBottom w:val="0"/>
          <w:divBdr>
            <w:top w:val="none" w:sz="0" w:space="0" w:color="auto"/>
            <w:left w:val="none" w:sz="0" w:space="0" w:color="auto"/>
            <w:bottom w:val="none" w:sz="0" w:space="0" w:color="auto"/>
            <w:right w:val="none" w:sz="0" w:space="0" w:color="auto"/>
          </w:divBdr>
          <w:divsChild>
            <w:div w:id="937568657">
              <w:marLeft w:val="0"/>
              <w:marRight w:val="0"/>
              <w:marTop w:val="0"/>
              <w:marBottom w:val="0"/>
              <w:divBdr>
                <w:top w:val="none" w:sz="0" w:space="0" w:color="auto"/>
                <w:left w:val="none" w:sz="0" w:space="0" w:color="auto"/>
                <w:bottom w:val="none" w:sz="0" w:space="0" w:color="auto"/>
                <w:right w:val="none" w:sz="0" w:space="0" w:color="auto"/>
              </w:divBdr>
              <w:divsChild>
                <w:div w:id="1251423634">
                  <w:marLeft w:val="0"/>
                  <w:marRight w:val="0"/>
                  <w:marTop w:val="0"/>
                  <w:marBottom w:val="0"/>
                  <w:divBdr>
                    <w:top w:val="none" w:sz="0" w:space="0" w:color="auto"/>
                    <w:left w:val="none" w:sz="0" w:space="0" w:color="auto"/>
                    <w:bottom w:val="none" w:sz="0" w:space="0" w:color="auto"/>
                    <w:right w:val="none" w:sz="0" w:space="0" w:color="auto"/>
                  </w:divBdr>
                  <w:divsChild>
                    <w:div w:id="2029676880">
                      <w:marLeft w:val="0"/>
                      <w:marRight w:val="0"/>
                      <w:marTop w:val="0"/>
                      <w:marBottom w:val="0"/>
                      <w:divBdr>
                        <w:top w:val="none" w:sz="0" w:space="0" w:color="auto"/>
                        <w:left w:val="none" w:sz="0" w:space="0" w:color="auto"/>
                        <w:bottom w:val="none" w:sz="0" w:space="0" w:color="auto"/>
                        <w:right w:val="none" w:sz="0" w:space="0" w:color="auto"/>
                      </w:divBdr>
                      <w:divsChild>
                        <w:div w:id="1600992326">
                          <w:marLeft w:val="0"/>
                          <w:marRight w:val="0"/>
                          <w:marTop w:val="0"/>
                          <w:marBottom w:val="0"/>
                          <w:divBdr>
                            <w:top w:val="none" w:sz="0" w:space="0" w:color="auto"/>
                            <w:left w:val="none" w:sz="0" w:space="0" w:color="auto"/>
                            <w:bottom w:val="none" w:sz="0" w:space="0" w:color="auto"/>
                            <w:right w:val="none" w:sz="0" w:space="0" w:color="auto"/>
                          </w:divBdr>
                          <w:divsChild>
                            <w:div w:id="624702987">
                              <w:marLeft w:val="0"/>
                              <w:marRight w:val="0"/>
                              <w:marTop w:val="0"/>
                              <w:marBottom w:val="0"/>
                              <w:divBdr>
                                <w:top w:val="none" w:sz="0" w:space="0" w:color="auto"/>
                                <w:left w:val="none" w:sz="0" w:space="0" w:color="auto"/>
                                <w:bottom w:val="none" w:sz="0" w:space="0" w:color="auto"/>
                                <w:right w:val="none" w:sz="0" w:space="0" w:color="auto"/>
                              </w:divBdr>
                              <w:divsChild>
                                <w:div w:id="1684241287">
                                  <w:marLeft w:val="225"/>
                                  <w:marRight w:val="4050"/>
                                  <w:marTop w:val="0"/>
                                  <w:marBottom w:val="0"/>
                                  <w:divBdr>
                                    <w:top w:val="none" w:sz="0" w:space="0" w:color="auto"/>
                                    <w:left w:val="none" w:sz="0" w:space="0" w:color="auto"/>
                                    <w:bottom w:val="none" w:sz="0" w:space="0" w:color="auto"/>
                                    <w:right w:val="none" w:sz="0" w:space="0" w:color="auto"/>
                                  </w:divBdr>
                                  <w:divsChild>
                                    <w:div w:id="1399784808">
                                      <w:marLeft w:val="0"/>
                                      <w:marRight w:val="225"/>
                                      <w:marTop w:val="0"/>
                                      <w:marBottom w:val="480"/>
                                      <w:divBdr>
                                        <w:top w:val="single" w:sz="6" w:space="15" w:color="C9C9C9"/>
                                        <w:left w:val="single" w:sz="6" w:space="23" w:color="C9C9C9"/>
                                        <w:bottom w:val="single" w:sz="6" w:space="15" w:color="C9C9C9"/>
                                        <w:right w:val="single" w:sz="6" w:space="23" w:color="C9C9C9"/>
                                      </w:divBdr>
                                      <w:divsChild>
                                        <w:div w:id="14323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154171">
      <w:bodyDiv w:val="1"/>
      <w:marLeft w:val="0"/>
      <w:marRight w:val="0"/>
      <w:marTop w:val="0"/>
      <w:marBottom w:val="0"/>
      <w:divBdr>
        <w:top w:val="none" w:sz="0" w:space="0" w:color="auto"/>
        <w:left w:val="none" w:sz="0" w:space="0" w:color="auto"/>
        <w:bottom w:val="none" w:sz="0" w:space="0" w:color="auto"/>
        <w:right w:val="none" w:sz="0" w:space="0" w:color="auto"/>
      </w:divBdr>
    </w:div>
    <w:div w:id="1576430792">
      <w:bodyDiv w:val="1"/>
      <w:marLeft w:val="0"/>
      <w:marRight w:val="0"/>
      <w:marTop w:val="0"/>
      <w:marBottom w:val="0"/>
      <w:divBdr>
        <w:top w:val="none" w:sz="0" w:space="0" w:color="auto"/>
        <w:left w:val="none" w:sz="0" w:space="0" w:color="auto"/>
        <w:bottom w:val="none" w:sz="0" w:space="0" w:color="auto"/>
        <w:right w:val="none" w:sz="0" w:space="0" w:color="auto"/>
      </w:divBdr>
    </w:div>
    <w:div w:id="1626617686">
      <w:bodyDiv w:val="1"/>
      <w:marLeft w:val="0"/>
      <w:marRight w:val="0"/>
      <w:marTop w:val="0"/>
      <w:marBottom w:val="0"/>
      <w:divBdr>
        <w:top w:val="none" w:sz="0" w:space="0" w:color="auto"/>
        <w:left w:val="none" w:sz="0" w:space="0" w:color="auto"/>
        <w:bottom w:val="none" w:sz="0" w:space="0" w:color="auto"/>
        <w:right w:val="none" w:sz="0" w:space="0" w:color="auto"/>
      </w:divBdr>
    </w:div>
    <w:div w:id="1628588182">
      <w:bodyDiv w:val="1"/>
      <w:marLeft w:val="0"/>
      <w:marRight w:val="0"/>
      <w:marTop w:val="0"/>
      <w:marBottom w:val="0"/>
      <w:divBdr>
        <w:top w:val="none" w:sz="0" w:space="0" w:color="auto"/>
        <w:left w:val="none" w:sz="0" w:space="0" w:color="auto"/>
        <w:bottom w:val="none" w:sz="0" w:space="0" w:color="auto"/>
        <w:right w:val="none" w:sz="0" w:space="0" w:color="auto"/>
      </w:divBdr>
    </w:div>
    <w:div w:id="1666321349">
      <w:bodyDiv w:val="1"/>
      <w:marLeft w:val="0"/>
      <w:marRight w:val="0"/>
      <w:marTop w:val="0"/>
      <w:marBottom w:val="0"/>
      <w:divBdr>
        <w:top w:val="none" w:sz="0" w:space="0" w:color="auto"/>
        <w:left w:val="none" w:sz="0" w:space="0" w:color="auto"/>
        <w:bottom w:val="none" w:sz="0" w:space="0" w:color="auto"/>
        <w:right w:val="none" w:sz="0" w:space="0" w:color="auto"/>
      </w:divBdr>
    </w:div>
    <w:div w:id="1672415414">
      <w:bodyDiv w:val="1"/>
      <w:marLeft w:val="0"/>
      <w:marRight w:val="0"/>
      <w:marTop w:val="0"/>
      <w:marBottom w:val="0"/>
      <w:divBdr>
        <w:top w:val="none" w:sz="0" w:space="0" w:color="auto"/>
        <w:left w:val="none" w:sz="0" w:space="0" w:color="auto"/>
        <w:bottom w:val="none" w:sz="0" w:space="0" w:color="auto"/>
        <w:right w:val="none" w:sz="0" w:space="0" w:color="auto"/>
      </w:divBdr>
    </w:div>
    <w:div w:id="1673407532">
      <w:bodyDiv w:val="1"/>
      <w:marLeft w:val="0"/>
      <w:marRight w:val="0"/>
      <w:marTop w:val="0"/>
      <w:marBottom w:val="0"/>
      <w:divBdr>
        <w:top w:val="none" w:sz="0" w:space="0" w:color="auto"/>
        <w:left w:val="none" w:sz="0" w:space="0" w:color="auto"/>
        <w:bottom w:val="none" w:sz="0" w:space="0" w:color="auto"/>
        <w:right w:val="none" w:sz="0" w:space="0" w:color="auto"/>
      </w:divBdr>
    </w:div>
    <w:div w:id="1675257639">
      <w:bodyDiv w:val="1"/>
      <w:marLeft w:val="0"/>
      <w:marRight w:val="0"/>
      <w:marTop w:val="0"/>
      <w:marBottom w:val="0"/>
      <w:divBdr>
        <w:top w:val="none" w:sz="0" w:space="0" w:color="auto"/>
        <w:left w:val="none" w:sz="0" w:space="0" w:color="auto"/>
        <w:bottom w:val="none" w:sz="0" w:space="0" w:color="auto"/>
        <w:right w:val="none" w:sz="0" w:space="0" w:color="auto"/>
      </w:divBdr>
    </w:div>
    <w:div w:id="1734813707">
      <w:bodyDiv w:val="1"/>
      <w:marLeft w:val="0"/>
      <w:marRight w:val="0"/>
      <w:marTop w:val="0"/>
      <w:marBottom w:val="0"/>
      <w:divBdr>
        <w:top w:val="none" w:sz="0" w:space="0" w:color="auto"/>
        <w:left w:val="none" w:sz="0" w:space="0" w:color="auto"/>
        <w:bottom w:val="none" w:sz="0" w:space="0" w:color="auto"/>
        <w:right w:val="none" w:sz="0" w:space="0" w:color="auto"/>
      </w:divBdr>
    </w:div>
    <w:div w:id="1738748264">
      <w:bodyDiv w:val="1"/>
      <w:marLeft w:val="0"/>
      <w:marRight w:val="0"/>
      <w:marTop w:val="0"/>
      <w:marBottom w:val="0"/>
      <w:divBdr>
        <w:top w:val="none" w:sz="0" w:space="0" w:color="auto"/>
        <w:left w:val="none" w:sz="0" w:space="0" w:color="auto"/>
        <w:bottom w:val="none" w:sz="0" w:space="0" w:color="auto"/>
        <w:right w:val="none" w:sz="0" w:space="0" w:color="auto"/>
      </w:divBdr>
    </w:div>
    <w:div w:id="1748069421">
      <w:bodyDiv w:val="1"/>
      <w:marLeft w:val="0"/>
      <w:marRight w:val="0"/>
      <w:marTop w:val="0"/>
      <w:marBottom w:val="0"/>
      <w:divBdr>
        <w:top w:val="none" w:sz="0" w:space="0" w:color="auto"/>
        <w:left w:val="none" w:sz="0" w:space="0" w:color="auto"/>
        <w:bottom w:val="none" w:sz="0" w:space="0" w:color="auto"/>
        <w:right w:val="none" w:sz="0" w:space="0" w:color="auto"/>
      </w:divBdr>
    </w:div>
    <w:div w:id="1763574115">
      <w:bodyDiv w:val="1"/>
      <w:marLeft w:val="0"/>
      <w:marRight w:val="0"/>
      <w:marTop w:val="0"/>
      <w:marBottom w:val="0"/>
      <w:divBdr>
        <w:top w:val="none" w:sz="0" w:space="0" w:color="auto"/>
        <w:left w:val="none" w:sz="0" w:space="0" w:color="auto"/>
        <w:bottom w:val="none" w:sz="0" w:space="0" w:color="auto"/>
        <w:right w:val="none" w:sz="0" w:space="0" w:color="auto"/>
      </w:divBdr>
    </w:div>
    <w:div w:id="1804423702">
      <w:bodyDiv w:val="1"/>
      <w:marLeft w:val="0"/>
      <w:marRight w:val="0"/>
      <w:marTop w:val="0"/>
      <w:marBottom w:val="0"/>
      <w:divBdr>
        <w:top w:val="none" w:sz="0" w:space="0" w:color="auto"/>
        <w:left w:val="none" w:sz="0" w:space="0" w:color="auto"/>
        <w:bottom w:val="none" w:sz="0" w:space="0" w:color="auto"/>
        <w:right w:val="none" w:sz="0" w:space="0" w:color="auto"/>
      </w:divBdr>
    </w:div>
    <w:div w:id="1806116551">
      <w:bodyDiv w:val="1"/>
      <w:marLeft w:val="0"/>
      <w:marRight w:val="0"/>
      <w:marTop w:val="0"/>
      <w:marBottom w:val="0"/>
      <w:divBdr>
        <w:top w:val="none" w:sz="0" w:space="0" w:color="auto"/>
        <w:left w:val="none" w:sz="0" w:space="0" w:color="auto"/>
        <w:bottom w:val="none" w:sz="0" w:space="0" w:color="auto"/>
        <w:right w:val="none" w:sz="0" w:space="0" w:color="auto"/>
      </w:divBdr>
    </w:div>
    <w:div w:id="1825393025">
      <w:bodyDiv w:val="1"/>
      <w:marLeft w:val="0"/>
      <w:marRight w:val="0"/>
      <w:marTop w:val="0"/>
      <w:marBottom w:val="0"/>
      <w:divBdr>
        <w:top w:val="none" w:sz="0" w:space="0" w:color="auto"/>
        <w:left w:val="none" w:sz="0" w:space="0" w:color="auto"/>
        <w:bottom w:val="none" w:sz="0" w:space="0" w:color="auto"/>
        <w:right w:val="none" w:sz="0" w:space="0" w:color="auto"/>
      </w:divBdr>
    </w:div>
    <w:div w:id="1846237941">
      <w:bodyDiv w:val="1"/>
      <w:marLeft w:val="0"/>
      <w:marRight w:val="0"/>
      <w:marTop w:val="0"/>
      <w:marBottom w:val="0"/>
      <w:divBdr>
        <w:top w:val="none" w:sz="0" w:space="0" w:color="auto"/>
        <w:left w:val="none" w:sz="0" w:space="0" w:color="auto"/>
        <w:bottom w:val="none" w:sz="0" w:space="0" w:color="auto"/>
        <w:right w:val="none" w:sz="0" w:space="0" w:color="auto"/>
      </w:divBdr>
    </w:div>
    <w:div w:id="1854612068">
      <w:bodyDiv w:val="1"/>
      <w:marLeft w:val="0"/>
      <w:marRight w:val="0"/>
      <w:marTop w:val="0"/>
      <w:marBottom w:val="0"/>
      <w:divBdr>
        <w:top w:val="none" w:sz="0" w:space="0" w:color="auto"/>
        <w:left w:val="none" w:sz="0" w:space="0" w:color="auto"/>
        <w:bottom w:val="none" w:sz="0" w:space="0" w:color="auto"/>
        <w:right w:val="none" w:sz="0" w:space="0" w:color="auto"/>
      </w:divBdr>
    </w:div>
    <w:div w:id="1863282783">
      <w:bodyDiv w:val="1"/>
      <w:marLeft w:val="0"/>
      <w:marRight w:val="0"/>
      <w:marTop w:val="0"/>
      <w:marBottom w:val="0"/>
      <w:divBdr>
        <w:top w:val="none" w:sz="0" w:space="0" w:color="auto"/>
        <w:left w:val="none" w:sz="0" w:space="0" w:color="auto"/>
        <w:bottom w:val="none" w:sz="0" w:space="0" w:color="auto"/>
        <w:right w:val="none" w:sz="0" w:space="0" w:color="auto"/>
      </w:divBdr>
    </w:div>
    <w:div w:id="1864905243">
      <w:bodyDiv w:val="1"/>
      <w:marLeft w:val="0"/>
      <w:marRight w:val="0"/>
      <w:marTop w:val="0"/>
      <w:marBottom w:val="0"/>
      <w:divBdr>
        <w:top w:val="none" w:sz="0" w:space="0" w:color="auto"/>
        <w:left w:val="none" w:sz="0" w:space="0" w:color="auto"/>
        <w:bottom w:val="none" w:sz="0" w:space="0" w:color="auto"/>
        <w:right w:val="none" w:sz="0" w:space="0" w:color="auto"/>
      </w:divBdr>
    </w:div>
    <w:div w:id="1877697737">
      <w:bodyDiv w:val="1"/>
      <w:marLeft w:val="0"/>
      <w:marRight w:val="0"/>
      <w:marTop w:val="0"/>
      <w:marBottom w:val="0"/>
      <w:divBdr>
        <w:top w:val="none" w:sz="0" w:space="0" w:color="auto"/>
        <w:left w:val="none" w:sz="0" w:space="0" w:color="auto"/>
        <w:bottom w:val="none" w:sz="0" w:space="0" w:color="auto"/>
        <w:right w:val="none" w:sz="0" w:space="0" w:color="auto"/>
      </w:divBdr>
    </w:div>
    <w:div w:id="1927033441">
      <w:bodyDiv w:val="1"/>
      <w:marLeft w:val="0"/>
      <w:marRight w:val="0"/>
      <w:marTop w:val="0"/>
      <w:marBottom w:val="0"/>
      <w:divBdr>
        <w:top w:val="none" w:sz="0" w:space="0" w:color="auto"/>
        <w:left w:val="none" w:sz="0" w:space="0" w:color="auto"/>
        <w:bottom w:val="none" w:sz="0" w:space="0" w:color="auto"/>
        <w:right w:val="none" w:sz="0" w:space="0" w:color="auto"/>
      </w:divBdr>
    </w:div>
    <w:div w:id="2005425325">
      <w:bodyDiv w:val="1"/>
      <w:marLeft w:val="0"/>
      <w:marRight w:val="0"/>
      <w:marTop w:val="0"/>
      <w:marBottom w:val="0"/>
      <w:divBdr>
        <w:top w:val="none" w:sz="0" w:space="0" w:color="auto"/>
        <w:left w:val="none" w:sz="0" w:space="0" w:color="auto"/>
        <w:bottom w:val="none" w:sz="0" w:space="0" w:color="auto"/>
        <w:right w:val="none" w:sz="0" w:space="0" w:color="auto"/>
      </w:divBdr>
    </w:div>
    <w:div w:id="2058894948">
      <w:bodyDiv w:val="1"/>
      <w:marLeft w:val="0"/>
      <w:marRight w:val="0"/>
      <w:marTop w:val="0"/>
      <w:marBottom w:val="0"/>
      <w:divBdr>
        <w:top w:val="none" w:sz="0" w:space="0" w:color="auto"/>
        <w:left w:val="none" w:sz="0" w:space="0" w:color="auto"/>
        <w:bottom w:val="none" w:sz="0" w:space="0" w:color="auto"/>
        <w:right w:val="none" w:sz="0" w:space="0" w:color="auto"/>
      </w:divBdr>
    </w:div>
    <w:div w:id="2088257705">
      <w:bodyDiv w:val="1"/>
      <w:marLeft w:val="0"/>
      <w:marRight w:val="0"/>
      <w:marTop w:val="0"/>
      <w:marBottom w:val="0"/>
      <w:divBdr>
        <w:top w:val="none" w:sz="0" w:space="0" w:color="auto"/>
        <w:left w:val="none" w:sz="0" w:space="0" w:color="auto"/>
        <w:bottom w:val="none" w:sz="0" w:space="0" w:color="auto"/>
        <w:right w:val="none" w:sz="0" w:space="0" w:color="auto"/>
      </w:divBdr>
    </w:div>
    <w:div w:id="2093624117">
      <w:bodyDiv w:val="1"/>
      <w:marLeft w:val="0"/>
      <w:marRight w:val="0"/>
      <w:marTop w:val="0"/>
      <w:marBottom w:val="0"/>
      <w:divBdr>
        <w:top w:val="none" w:sz="0" w:space="0" w:color="auto"/>
        <w:left w:val="none" w:sz="0" w:space="0" w:color="auto"/>
        <w:bottom w:val="none" w:sz="0" w:space="0" w:color="auto"/>
        <w:right w:val="none" w:sz="0" w:space="0" w:color="auto"/>
      </w:divBdr>
    </w:div>
    <w:div w:id="20990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stacked"/>
        <c:varyColors val="0"/>
        <c:ser>
          <c:idx val="0"/>
          <c:order val="0"/>
          <c:tx>
            <c:strRef>
              <c:f>Sheet1!$A$2</c:f>
              <c:strCache>
                <c:ptCount val="1"/>
                <c:pt idx="0">
                  <c:v>письменные</c:v>
                </c:pt>
              </c:strCache>
            </c:strRef>
          </c:tx>
          <c:spPr>
            <a:solidFill>
              <a:srgbClr val="9999FF"/>
            </a:solidFill>
            <a:ln w="12700">
              <a:solidFill>
                <a:srgbClr val="000000"/>
              </a:solidFill>
              <a:prstDash val="solid"/>
            </a:ln>
          </c:spPr>
          <c:invertIfNegative val="0"/>
          <c:dLbls>
            <c:dLbl>
              <c:idx val="0"/>
              <c:tx>
                <c:rich>
                  <a:bodyPr/>
                  <a:lstStyle/>
                  <a:p>
                    <a:r>
                      <a:rPr lang="en-US" sz="1100"/>
                      <a:t>2</a:t>
                    </a:r>
                    <a:r>
                      <a:rPr lang="ru-RU" sz="1100"/>
                      <a:t>694</a:t>
                    </a:r>
                    <a:endParaRPr lang="en-US"/>
                  </a:p>
                </c:rich>
              </c:tx>
              <c:showLegendKey val="0"/>
              <c:showVal val="1"/>
              <c:showCatName val="0"/>
              <c:showSerName val="0"/>
              <c:showPercent val="0"/>
              <c:showBubbleSize val="0"/>
            </c:dLbl>
            <c:dLbl>
              <c:idx val="1"/>
              <c:tx>
                <c:rich>
                  <a:bodyPr/>
                  <a:lstStyle/>
                  <a:p>
                    <a:r>
                      <a:rPr lang="en-US" sz="1100"/>
                      <a:t>29</a:t>
                    </a:r>
                    <a:r>
                      <a:rPr lang="ru-RU" sz="1100"/>
                      <a:t>21</a:t>
                    </a:r>
                    <a:endParaRPr lang="en-US"/>
                  </a:p>
                </c:rich>
              </c:tx>
              <c:showLegendKey val="0"/>
              <c:showVal val="1"/>
              <c:showCatName val="0"/>
              <c:showSerName val="0"/>
              <c:showPercent val="0"/>
              <c:showBubbleSize val="0"/>
            </c:dLbl>
            <c:spPr>
              <a:noFill/>
              <a:ln w="25400">
                <a:noFill/>
              </a:ln>
            </c:spPr>
            <c:txPr>
              <a:bodyPr/>
              <a:lstStyle/>
              <a:p>
                <a:pPr>
                  <a:defRPr sz="11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Sheet1!$B$1:$E$1</c:f>
              <c:numCache>
                <c:formatCode>General</c:formatCode>
                <c:ptCount val="4"/>
                <c:pt idx="0">
                  <c:v>2016</c:v>
                </c:pt>
                <c:pt idx="1">
                  <c:v>2017</c:v>
                </c:pt>
                <c:pt idx="2">
                  <c:v>2018</c:v>
                </c:pt>
              </c:numCache>
            </c:numRef>
          </c:cat>
          <c:val>
            <c:numRef>
              <c:f>Sheet1!$B$2:$E$2</c:f>
              <c:numCache>
                <c:formatCode>General</c:formatCode>
                <c:ptCount val="4"/>
                <c:pt idx="0">
                  <c:v>2694</c:v>
                </c:pt>
                <c:pt idx="1">
                  <c:v>2921</c:v>
                </c:pt>
                <c:pt idx="2">
                  <c:v>4029</c:v>
                </c:pt>
              </c:numCache>
            </c:numRef>
          </c:val>
        </c:ser>
        <c:ser>
          <c:idx val="1"/>
          <c:order val="1"/>
          <c:tx>
            <c:strRef>
              <c:f>Sheet1!$A$3</c:f>
              <c:strCache>
                <c:ptCount val="1"/>
                <c:pt idx="0">
                  <c:v>устные</c:v>
                </c:pt>
              </c:strCache>
            </c:strRef>
          </c:tx>
          <c:spPr>
            <a:solidFill>
              <a:srgbClr val="993366"/>
            </a:solidFill>
            <a:ln w="12700">
              <a:solidFill>
                <a:srgbClr val="000000"/>
              </a:solidFill>
              <a:prstDash val="solid"/>
            </a:ln>
          </c:spPr>
          <c:invertIfNegative val="0"/>
          <c:dLbls>
            <c:dLbl>
              <c:idx val="0"/>
              <c:layout>
                <c:manualLayout>
                  <c:x val="7.1970225033346241E-2"/>
                  <c:y val="-8.1424090281397771E-2"/>
                </c:manualLayout>
              </c:layout>
              <c:showLegendKey val="0"/>
              <c:showVal val="1"/>
              <c:showCatName val="0"/>
              <c:showSerName val="0"/>
              <c:showPercent val="0"/>
              <c:showBubbleSize val="0"/>
            </c:dLbl>
            <c:dLbl>
              <c:idx val="1"/>
              <c:layout>
                <c:manualLayout>
                  <c:x val="5.5040316681726258E-2"/>
                  <c:y val="-7.5031596660173575E-2"/>
                </c:manualLayout>
              </c:layout>
              <c:showLegendKey val="0"/>
              <c:showVal val="1"/>
              <c:showCatName val="0"/>
              <c:showSerName val="0"/>
              <c:showPercent val="0"/>
              <c:showBubbleSize val="0"/>
            </c:dLbl>
            <c:dLbl>
              <c:idx val="2"/>
              <c:layout>
                <c:manualLayout>
                  <c:x val="7.7542274428811231E-2"/>
                  <c:y val="-2.7204038519575296E-2"/>
                </c:manualLayout>
              </c:layout>
              <c:showLegendKey val="0"/>
              <c:showVal val="1"/>
              <c:showCatName val="0"/>
              <c:showSerName val="0"/>
              <c:showPercent val="0"/>
              <c:showBubbleSize val="0"/>
            </c:dLbl>
            <c:spPr>
              <a:noFill/>
              <a:ln w="25400">
                <a:noFill/>
              </a:ln>
            </c:spPr>
            <c:txPr>
              <a:bodyPr/>
              <a:lstStyle/>
              <a:p>
                <a:pPr>
                  <a:defRPr sz="11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numRef>
              <c:f>Sheet1!$B$1:$E$1</c:f>
              <c:numCache>
                <c:formatCode>General</c:formatCode>
                <c:ptCount val="4"/>
                <c:pt idx="0">
                  <c:v>2016</c:v>
                </c:pt>
                <c:pt idx="1">
                  <c:v>2017</c:v>
                </c:pt>
                <c:pt idx="2">
                  <c:v>2018</c:v>
                </c:pt>
              </c:numCache>
            </c:numRef>
          </c:cat>
          <c:val>
            <c:numRef>
              <c:f>Sheet1!$B$3:$E$3</c:f>
              <c:numCache>
                <c:formatCode>General</c:formatCode>
                <c:ptCount val="4"/>
                <c:pt idx="0">
                  <c:v>291</c:v>
                </c:pt>
                <c:pt idx="1">
                  <c:v>75</c:v>
                </c:pt>
                <c:pt idx="2">
                  <c:v>65</c:v>
                </c:pt>
              </c:numCache>
            </c:numRef>
          </c:val>
        </c:ser>
        <c:dLbls>
          <c:showLegendKey val="0"/>
          <c:showVal val="0"/>
          <c:showCatName val="0"/>
          <c:showSerName val="0"/>
          <c:showPercent val="0"/>
          <c:showBubbleSize val="0"/>
        </c:dLbls>
        <c:gapWidth val="150"/>
        <c:gapDepth val="0"/>
        <c:shape val="box"/>
        <c:axId val="83211776"/>
        <c:axId val="83213312"/>
        <c:axId val="0"/>
      </c:bar3DChart>
      <c:catAx>
        <c:axId val="832117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83213312"/>
        <c:crosses val="autoZero"/>
        <c:auto val="1"/>
        <c:lblAlgn val="ctr"/>
        <c:lblOffset val="100"/>
        <c:tickLblSkip val="1"/>
        <c:tickMarkSkip val="1"/>
        <c:noMultiLvlLbl val="0"/>
      </c:catAx>
      <c:valAx>
        <c:axId val="83213312"/>
        <c:scaling>
          <c:orientation val="minMax"/>
          <c:max val="4100"/>
          <c:min val="0"/>
        </c:scaling>
        <c:delete val="0"/>
        <c:axPos val="l"/>
        <c:majorGridlines>
          <c:spPr>
            <a:ln w="3175">
              <a:solidFill>
                <a:srgbClr val="000000"/>
              </a:solidFill>
              <a:prstDash val="solid"/>
            </a:ln>
          </c:spPr>
        </c:majorGridlines>
        <c:numFmt formatCode="@" sourceLinked="0"/>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Calibri"/>
                <a:ea typeface="Calibri"/>
                <a:cs typeface="Calibri"/>
              </a:defRPr>
            </a:pPr>
            <a:endParaRPr lang="ru-RU"/>
          </a:p>
        </c:txPr>
        <c:crossAx val="83211776"/>
        <c:crosses val="autoZero"/>
        <c:crossBetween val="between"/>
        <c:majorUnit val="1000"/>
      </c:valAx>
      <c:spPr>
        <a:noFill/>
        <a:ln w="25400">
          <a:noFill/>
        </a:ln>
      </c:spPr>
    </c:plotArea>
    <c:legend>
      <c:legendPos val="r"/>
      <c:layout>
        <c:manualLayout>
          <c:xMode val="edge"/>
          <c:yMode val="edge"/>
          <c:x val="0.80634390651085142"/>
          <c:y val="0.41155234657039713"/>
          <c:w val="0.18697829716193656"/>
          <c:h val="0.17689530685920576"/>
        </c:manualLayout>
      </c:layout>
      <c:overlay val="0"/>
      <c:spPr>
        <a:noFill/>
        <a:ln w="3175">
          <a:solidFill>
            <a:srgbClr val="000000"/>
          </a:solidFill>
          <a:prstDash val="solid"/>
        </a:ln>
      </c:spPr>
      <c:txPr>
        <a:bodyPr/>
        <a:lstStyle/>
        <a:p>
          <a:pPr>
            <a:defRPr sz="1000"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Тематика обращений</c:v>
                </c:pt>
              </c:strCache>
            </c:strRef>
          </c:tx>
          <c:explosion val="31"/>
          <c:dPt>
            <c:idx val="0"/>
            <c:bubble3D val="0"/>
            <c:explosion val="15"/>
          </c:dPt>
          <c:dPt>
            <c:idx val="1"/>
            <c:bubble3D val="0"/>
            <c:explosion val="35"/>
          </c:dPt>
          <c:dPt>
            <c:idx val="2"/>
            <c:bubble3D val="0"/>
            <c:explosion val="34"/>
          </c:dPt>
          <c:dPt>
            <c:idx val="4"/>
            <c:bubble3D val="0"/>
            <c:explosion val="29"/>
          </c:dPt>
          <c:dLbls>
            <c:dLbl>
              <c:idx val="0"/>
              <c:tx>
                <c:rich>
                  <a:bodyPr/>
                  <a:lstStyle/>
                  <a:p>
                    <a:r>
                      <a:rPr lang="ru-RU" b="1" baseline="0"/>
                      <a:t>3106 (</a:t>
                    </a:r>
                    <a:r>
                      <a:rPr lang="en-US" b="1"/>
                      <a:t>7</a:t>
                    </a:r>
                    <a:r>
                      <a:rPr lang="ru-RU" b="1"/>
                      <a:t>5,8</a:t>
                    </a:r>
                    <a:r>
                      <a:rPr lang="en-US" b="1"/>
                      <a:t>%</a:t>
                    </a:r>
                    <a:r>
                      <a:rPr lang="ru-RU" b="1"/>
                      <a:t>)</a:t>
                    </a:r>
                    <a:endParaRPr lang="en-US" b="1"/>
                  </a:p>
                </c:rich>
              </c:tx>
              <c:showLegendKey val="0"/>
              <c:showVal val="0"/>
              <c:showCatName val="0"/>
              <c:showSerName val="0"/>
              <c:showPercent val="1"/>
              <c:showBubbleSize val="0"/>
            </c:dLbl>
            <c:dLbl>
              <c:idx val="1"/>
              <c:tx>
                <c:rich>
                  <a:bodyPr/>
                  <a:lstStyle/>
                  <a:p>
                    <a:r>
                      <a:rPr lang="ru-RU"/>
                      <a:t>870 (21,2</a:t>
                    </a:r>
                    <a:r>
                      <a:rPr lang="en-US"/>
                      <a:t>%</a:t>
                    </a:r>
                    <a:r>
                      <a:rPr lang="ru-RU"/>
                      <a:t>)</a:t>
                    </a:r>
                    <a:endParaRPr lang="en-US"/>
                  </a:p>
                </c:rich>
              </c:tx>
              <c:showLegendKey val="0"/>
              <c:showVal val="0"/>
              <c:showCatName val="0"/>
              <c:showSerName val="0"/>
              <c:showPercent val="1"/>
              <c:showBubbleSize val="0"/>
            </c:dLbl>
            <c:dLbl>
              <c:idx val="2"/>
              <c:tx>
                <c:rich>
                  <a:bodyPr/>
                  <a:lstStyle/>
                  <a:p>
                    <a:r>
                      <a:rPr lang="en-US"/>
                      <a:t>60</a:t>
                    </a:r>
                    <a:r>
                      <a:rPr lang="ru-RU"/>
                      <a:t> (1,5</a:t>
                    </a:r>
                    <a:r>
                      <a:rPr lang="en-US"/>
                      <a:t>%</a:t>
                    </a:r>
                    <a:r>
                      <a:rPr lang="ru-RU"/>
                      <a:t>)</a:t>
                    </a:r>
                    <a:endParaRPr lang="en-US"/>
                  </a:p>
                </c:rich>
              </c:tx>
              <c:showLegendKey val="0"/>
              <c:showVal val="0"/>
              <c:showCatName val="0"/>
              <c:showSerName val="0"/>
              <c:showPercent val="1"/>
              <c:showBubbleSize val="0"/>
            </c:dLbl>
            <c:dLbl>
              <c:idx val="3"/>
              <c:tx>
                <c:rich>
                  <a:bodyPr/>
                  <a:lstStyle/>
                  <a:p>
                    <a:r>
                      <a:rPr lang="en-US"/>
                      <a:t>10</a:t>
                    </a:r>
                    <a:r>
                      <a:rPr lang="ru-RU" baseline="0"/>
                      <a:t> (0,3%)</a:t>
                    </a:r>
                    <a:endParaRPr lang="en-US"/>
                  </a:p>
                </c:rich>
              </c:tx>
              <c:showLegendKey val="0"/>
              <c:showVal val="0"/>
              <c:showCatName val="0"/>
              <c:showSerName val="0"/>
              <c:showPercent val="1"/>
              <c:showBubbleSize val="0"/>
            </c:dLbl>
            <c:dLbl>
              <c:idx val="4"/>
              <c:tx>
                <c:rich>
                  <a:bodyPr/>
                  <a:lstStyle/>
                  <a:p>
                    <a:r>
                      <a:rPr lang="ru-RU"/>
                      <a:t>48 (1,2</a:t>
                    </a:r>
                    <a:r>
                      <a:rPr lang="en-US"/>
                      <a:t>%</a:t>
                    </a:r>
                    <a:r>
                      <a:rPr lang="ru-RU"/>
                      <a:t>)</a:t>
                    </a:r>
                    <a:endParaRPr lang="en-US"/>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Лист1!$A$2:$A$6</c:f>
              <c:strCache>
                <c:ptCount val="5"/>
                <c:pt idx="0">
                  <c:v>экономика</c:v>
                </c:pt>
                <c:pt idx="1">
                  <c:v>жкх</c:v>
                </c:pt>
                <c:pt idx="2">
                  <c:v>социальная сфера</c:v>
                </c:pt>
                <c:pt idx="3">
                  <c:v>оборона, безопасность, законность</c:v>
                </c:pt>
                <c:pt idx="4">
                  <c:v>государство, общество, политика</c:v>
                </c:pt>
              </c:strCache>
            </c:strRef>
          </c:cat>
          <c:val>
            <c:numRef>
              <c:f>Лист1!$B$2:$B$6</c:f>
              <c:numCache>
                <c:formatCode>General</c:formatCode>
                <c:ptCount val="5"/>
                <c:pt idx="0">
                  <c:v>3106</c:v>
                </c:pt>
                <c:pt idx="1">
                  <c:v>870</c:v>
                </c:pt>
                <c:pt idx="2">
                  <c:v>60</c:v>
                </c:pt>
                <c:pt idx="3">
                  <c:v>10</c:v>
                </c:pt>
                <c:pt idx="4">
                  <c:v>48</c:v>
                </c:pt>
              </c:numCache>
            </c:numRef>
          </c:val>
        </c:ser>
        <c:ser>
          <c:idx val="1"/>
          <c:order val="1"/>
          <c:tx>
            <c:strRef>
              <c:f>Лист1!$C$1</c:f>
              <c:strCache>
                <c:ptCount val="1"/>
                <c:pt idx="0">
                  <c:v>Столбец1</c:v>
                </c:pt>
              </c:strCache>
            </c:strRef>
          </c:tx>
          <c:dLbls>
            <c:showLegendKey val="0"/>
            <c:showVal val="0"/>
            <c:showCatName val="0"/>
            <c:showSerName val="0"/>
            <c:showPercent val="1"/>
            <c:showBubbleSize val="0"/>
            <c:showLeaderLines val="1"/>
          </c:dLbls>
          <c:cat>
            <c:strRef>
              <c:f>Лист1!$A$2:$A$6</c:f>
              <c:strCache>
                <c:ptCount val="5"/>
                <c:pt idx="0">
                  <c:v>экономика</c:v>
                </c:pt>
                <c:pt idx="1">
                  <c:v>жкх</c:v>
                </c:pt>
                <c:pt idx="2">
                  <c:v>социальная сфера</c:v>
                </c:pt>
                <c:pt idx="3">
                  <c:v>оборона, безопасность, законность</c:v>
                </c:pt>
                <c:pt idx="4">
                  <c:v>государство, общество, политика</c:v>
                </c:pt>
              </c:strCache>
            </c:strRef>
          </c:cat>
          <c:val>
            <c:numRef>
              <c:f>Лист1!$C$2:$C$6</c:f>
              <c:numCache>
                <c:formatCode>General</c:formatCode>
                <c:ptCount val="5"/>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0832733997169772"/>
          <c:y val="7.6922827226102039E-2"/>
          <c:w val="0.27758440840990972"/>
          <c:h val="0.76357272823383426"/>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B50D-D5A5-4CA3-B825-F041E2DB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3</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Приложение 1 </vt:lpstr>
    </vt:vector>
  </TitlesOfParts>
  <Company>Администрация</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Приложение 1 </dc:title>
  <dc:subject/>
  <dc:creator>User</dc:creator>
  <cp:keywords/>
  <dc:description/>
  <cp:lastModifiedBy>Богданова Алия</cp:lastModifiedBy>
  <cp:revision>25</cp:revision>
  <cp:lastPrinted>2019-01-17T05:02:00Z</cp:lastPrinted>
  <dcterms:created xsi:type="dcterms:W3CDTF">2019-01-11T06:46:00Z</dcterms:created>
  <dcterms:modified xsi:type="dcterms:W3CDTF">2022-04-18T06:02:00Z</dcterms:modified>
</cp:coreProperties>
</file>