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FB" w:rsidRPr="00F13233" w:rsidRDefault="008F3FFB" w:rsidP="008F3FF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39C305DC" wp14:editId="09C48EC2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FB" w:rsidRPr="00F13233" w:rsidRDefault="008F3FFB" w:rsidP="008F3FF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8F3FFB" w:rsidRPr="00F13233" w:rsidRDefault="008F3FFB" w:rsidP="008F3FFB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8F3FFB" w:rsidRPr="000F4DD7" w:rsidRDefault="008F3FFB" w:rsidP="008F3FFB">
      <w:pPr>
        <w:widowControl w:val="0"/>
        <w:autoSpaceDE w:val="0"/>
        <w:autoSpaceDN w:val="0"/>
        <w:adjustRightInd w:val="0"/>
      </w:pPr>
      <w:r w:rsidRPr="000F4DD7">
        <w:t>от «</w:t>
      </w:r>
      <w:r w:rsidR="001B63A3">
        <w:t>04</w:t>
      </w:r>
      <w:r w:rsidRPr="000F4DD7">
        <w:t xml:space="preserve">» </w:t>
      </w:r>
      <w:r w:rsidR="001B63A3">
        <w:t>апреля</w:t>
      </w:r>
      <w:r w:rsidRPr="000F4DD7">
        <w:t xml:space="preserve"> 2022 г.                                                        </w:t>
      </w:r>
      <w:r w:rsidR="001B63A3">
        <w:t xml:space="preserve">                              </w:t>
      </w:r>
      <w:r>
        <w:t xml:space="preserve">  </w:t>
      </w:r>
      <w:r w:rsidRPr="000F4DD7">
        <w:t xml:space="preserve">                    № 1</w:t>
      </w:r>
      <w:r w:rsidR="00B0287E">
        <w:t>69</w:t>
      </w:r>
    </w:p>
    <w:p w:rsidR="008F3FFB" w:rsidRDefault="008F3FFB" w:rsidP="008F3FFB">
      <w:pPr>
        <w:widowControl w:val="0"/>
        <w:autoSpaceDE w:val="0"/>
        <w:autoSpaceDN w:val="0"/>
        <w:adjustRightInd w:val="0"/>
      </w:pPr>
      <w:r>
        <w:t>г. Советский</w:t>
      </w:r>
    </w:p>
    <w:p w:rsidR="008F3FFB" w:rsidRDefault="008F3FFB" w:rsidP="008F3FFB">
      <w:pPr>
        <w:autoSpaceDE w:val="0"/>
        <w:autoSpaceDN w:val="0"/>
        <w:adjustRightInd w:val="0"/>
      </w:pPr>
    </w:p>
    <w:tbl>
      <w:tblPr>
        <w:tblW w:w="4410" w:type="dxa"/>
        <w:tblInd w:w="-34" w:type="dxa"/>
        <w:tblLook w:val="04A0" w:firstRow="1" w:lastRow="0" w:firstColumn="1" w:lastColumn="0" w:noHBand="0" w:noVBand="1"/>
      </w:tblPr>
      <w:tblGrid>
        <w:gridCol w:w="4410"/>
      </w:tblGrid>
      <w:tr w:rsidR="00B0287E" w:rsidRPr="00B0287E" w:rsidTr="00B0287E">
        <w:trPr>
          <w:trHeight w:val="147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87E" w:rsidRPr="00B0287E" w:rsidRDefault="00B0287E" w:rsidP="00E7639F">
            <w:pPr>
              <w:suppressAutoHyphens/>
              <w:ind w:left="34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  <w:r w:rsidRPr="00B0287E">
              <w:rPr>
                <w:rFonts w:eastAsia="Times New Roman"/>
                <w:spacing w:val="-2"/>
                <w:lang w:val="x-none" w:eastAsia="zh-CN"/>
              </w:rPr>
              <w:t xml:space="preserve">О Плане мероприятий по росту </w:t>
            </w:r>
            <w:r>
              <w:rPr>
                <w:rFonts w:eastAsia="Times New Roman"/>
                <w:spacing w:val="-2"/>
                <w:lang w:eastAsia="zh-CN"/>
              </w:rPr>
              <w:t>доходов</w:t>
            </w:r>
            <w:r w:rsidRPr="00B0287E">
              <w:rPr>
                <w:rFonts w:eastAsia="Times New Roman"/>
                <w:spacing w:val="-2"/>
                <w:lang w:val="x-none" w:eastAsia="zh-CN"/>
              </w:rPr>
              <w:t xml:space="preserve">, оптимизации расходов бюджета </w:t>
            </w:r>
            <w:r w:rsidRPr="00B0287E">
              <w:rPr>
                <w:rFonts w:eastAsia="Times New Roman"/>
                <w:spacing w:val="-2"/>
                <w:lang w:eastAsia="zh-CN"/>
              </w:rPr>
              <w:t xml:space="preserve">городского поселения Советский </w:t>
            </w:r>
            <w:r w:rsidRPr="00B0287E">
              <w:rPr>
                <w:rFonts w:eastAsia="Times New Roman"/>
                <w:spacing w:val="-2"/>
                <w:lang w:val="x-none" w:eastAsia="zh-CN"/>
              </w:rPr>
              <w:t>и сокращению муниципального долга на 20</w:t>
            </w:r>
            <w:r w:rsidRPr="00B0287E">
              <w:rPr>
                <w:rFonts w:eastAsia="Times New Roman"/>
                <w:spacing w:val="-2"/>
                <w:lang w:eastAsia="zh-CN"/>
              </w:rPr>
              <w:t>22</w:t>
            </w:r>
            <w:r w:rsidRPr="00B0287E">
              <w:rPr>
                <w:rFonts w:eastAsia="Times New Roman"/>
                <w:spacing w:val="-2"/>
                <w:lang w:val="x-none" w:eastAsia="zh-CN"/>
              </w:rPr>
              <w:t xml:space="preserve"> год и</w:t>
            </w:r>
            <w:r w:rsidRPr="00B0287E">
              <w:rPr>
                <w:rFonts w:eastAsia="Times New Roman"/>
                <w:spacing w:val="-2"/>
                <w:lang w:eastAsia="zh-CN"/>
              </w:rPr>
              <w:t xml:space="preserve"> </w:t>
            </w:r>
            <w:r w:rsidRPr="00B0287E">
              <w:rPr>
                <w:rFonts w:eastAsia="Times New Roman"/>
                <w:spacing w:val="-2"/>
                <w:lang w:val="x-none" w:eastAsia="zh-CN"/>
              </w:rPr>
              <w:t>плановый период</w:t>
            </w:r>
            <w:r w:rsidRPr="00B0287E">
              <w:rPr>
                <w:rFonts w:eastAsia="Times New Roman"/>
                <w:spacing w:val="-2"/>
                <w:lang w:eastAsia="zh-CN"/>
              </w:rPr>
              <w:t xml:space="preserve"> </w:t>
            </w:r>
            <w:r w:rsidRPr="00B0287E">
              <w:rPr>
                <w:rFonts w:eastAsia="Times New Roman"/>
                <w:spacing w:val="-2"/>
                <w:lang w:val="x-none" w:eastAsia="zh-CN"/>
              </w:rPr>
              <w:t>20</w:t>
            </w:r>
            <w:r w:rsidRPr="00B0287E">
              <w:rPr>
                <w:rFonts w:eastAsia="Times New Roman"/>
                <w:spacing w:val="-2"/>
                <w:lang w:eastAsia="zh-CN"/>
              </w:rPr>
              <w:t>23</w:t>
            </w:r>
            <w:r w:rsidRPr="00B0287E">
              <w:rPr>
                <w:rFonts w:eastAsia="Times New Roman"/>
                <w:spacing w:val="-2"/>
                <w:lang w:val="x-none" w:eastAsia="zh-CN"/>
              </w:rPr>
              <w:t>-20</w:t>
            </w:r>
            <w:r w:rsidRPr="00B0287E">
              <w:rPr>
                <w:rFonts w:eastAsia="Times New Roman"/>
                <w:spacing w:val="-2"/>
                <w:lang w:eastAsia="zh-CN"/>
              </w:rPr>
              <w:t xml:space="preserve">24 </w:t>
            </w:r>
            <w:r w:rsidRPr="00B0287E">
              <w:rPr>
                <w:rFonts w:eastAsia="Times New Roman"/>
                <w:spacing w:val="-2"/>
                <w:lang w:val="x-none" w:eastAsia="zh-CN"/>
              </w:rPr>
              <w:t>год</w:t>
            </w:r>
            <w:r w:rsidRPr="00B0287E">
              <w:rPr>
                <w:rFonts w:eastAsia="Times New Roman"/>
                <w:spacing w:val="-2"/>
                <w:lang w:eastAsia="zh-CN"/>
              </w:rPr>
              <w:t>ов</w:t>
            </w:r>
          </w:p>
        </w:tc>
      </w:tr>
    </w:tbl>
    <w:p w:rsidR="00B0287E" w:rsidRPr="00B0287E" w:rsidRDefault="00B0287E" w:rsidP="00B0287E">
      <w:pPr>
        <w:tabs>
          <w:tab w:val="num" w:pos="0"/>
        </w:tabs>
        <w:suppressAutoHyphens/>
        <w:ind w:hanging="432"/>
        <w:outlineLvl w:val="0"/>
        <w:rPr>
          <w:rFonts w:eastAsia="Times New Roman"/>
          <w:spacing w:val="-2"/>
          <w:lang w:val="x-none" w:eastAsia="zh-CN"/>
        </w:rPr>
      </w:pPr>
    </w:p>
    <w:p w:rsidR="00B0287E" w:rsidRPr="00B0287E" w:rsidRDefault="00B0287E" w:rsidP="00B0287E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Times New Roman"/>
          <w:color w:val="FF0000"/>
          <w:spacing w:val="-2"/>
          <w:lang w:eastAsia="zh-CN"/>
        </w:rPr>
      </w:pPr>
      <w:proofErr w:type="gramStart"/>
      <w:r w:rsidRPr="00B0287E">
        <w:rPr>
          <w:rFonts w:eastAsia="Times New Roman"/>
          <w:color w:val="000000"/>
          <w:szCs w:val="23"/>
        </w:rPr>
        <w:t>В соответствии с Бюджетным кодексом Российской Федерации</w:t>
      </w:r>
      <w:r w:rsidRPr="00B0287E">
        <w:rPr>
          <w:rFonts w:eastAsia="Times New Roman"/>
          <w:spacing w:val="-2"/>
          <w:lang w:eastAsia="zh-CN"/>
        </w:rPr>
        <w:t>, Уставом городского поселения Советский, с целью увеличения поступлений по доходам в бюджет городского поселения Советский, расширения налогооблагаемой базы и сокращения расходов:</w:t>
      </w:r>
      <w:proofErr w:type="gramEnd"/>
    </w:p>
    <w:p w:rsidR="00B0287E" w:rsidRPr="00B0287E" w:rsidRDefault="00B0287E" w:rsidP="00B0287E">
      <w:pPr>
        <w:numPr>
          <w:ilvl w:val="0"/>
          <w:numId w:val="38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zh-CN"/>
        </w:rPr>
      </w:pPr>
      <w:r w:rsidRPr="00B0287E">
        <w:rPr>
          <w:rFonts w:eastAsia="Times New Roman"/>
          <w:spacing w:val="-2"/>
          <w:lang w:eastAsia="zh-CN"/>
        </w:rPr>
        <w:t>Утвердить План мероприятий по росту доходов, оптимизации расходов бюджета городского поселения Советский и сокращению муниципального долга на 2022 год и плановый период 2023-2024 года (далее План) (приложение).</w:t>
      </w:r>
    </w:p>
    <w:p w:rsidR="00B0287E" w:rsidRPr="00B0287E" w:rsidRDefault="00B0287E" w:rsidP="00B0287E">
      <w:pPr>
        <w:numPr>
          <w:ilvl w:val="0"/>
          <w:numId w:val="3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zh-CN"/>
        </w:rPr>
      </w:pPr>
      <w:proofErr w:type="gramStart"/>
      <w:r w:rsidRPr="00B0287E">
        <w:rPr>
          <w:rFonts w:eastAsia="Times New Roman"/>
          <w:spacing w:val="-2"/>
          <w:lang w:eastAsia="zh-CN"/>
        </w:rPr>
        <w:t>Ответственным за исполнение Плана предоставлять информацию о выполнении Плана, указанн</w:t>
      </w:r>
      <w:r>
        <w:rPr>
          <w:rFonts w:eastAsia="Times New Roman"/>
          <w:spacing w:val="-2"/>
          <w:lang w:eastAsia="zh-CN"/>
        </w:rPr>
        <w:t>ого в приложении</w:t>
      </w:r>
      <w:r w:rsidRPr="00B0287E">
        <w:rPr>
          <w:rFonts w:eastAsia="Times New Roman"/>
          <w:spacing w:val="-2"/>
          <w:lang w:eastAsia="zh-CN"/>
        </w:rPr>
        <w:t xml:space="preserve"> к настоящему постановлению ежеквартально в срок до 1 числа месяца, следующего за отчетным кварталом в бухгалтерию Администрации городского поселения Советский.  </w:t>
      </w:r>
      <w:proofErr w:type="gramEnd"/>
    </w:p>
    <w:p w:rsidR="00B0287E" w:rsidRPr="00B0287E" w:rsidRDefault="00B0287E" w:rsidP="00B0287E">
      <w:pPr>
        <w:numPr>
          <w:ilvl w:val="0"/>
          <w:numId w:val="3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zh-CN"/>
        </w:rPr>
      </w:pPr>
      <w:r w:rsidRPr="00B0287E">
        <w:rPr>
          <w:rFonts w:eastAsia="Times New Roman"/>
          <w:lang w:eastAsia="zh-CN"/>
        </w:rPr>
        <w:t>Настоящее Постановление вступает в силу со дня его подписания и распространяется на правоотношения, возникшие с 1 января 2022 г.</w:t>
      </w:r>
    </w:p>
    <w:p w:rsidR="00B0287E" w:rsidRDefault="00B0287E" w:rsidP="00B0287E">
      <w:pPr>
        <w:autoSpaceDE w:val="0"/>
        <w:autoSpaceDN w:val="0"/>
        <w:adjustRightInd w:val="0"/>
      </w:pPr>
    </w:p>
    <w:p w:rsidR="00B0287E" w:rsidRPr="009F6F84" w:rsidRDefault="00B0287E" w:rsidP="008F3FFB">
      <w:pPr>
        <w:autoSpaceDE w:val="0"/>
        <w:autoSpaceDN w:val="0"/>
        <w:adjustRightInd w:val="0"/>
      </w:pPr>
    </w:p>
    <w:p w:rsidR="008F3FFB" w:rsidRPr="009F6F84" w:rsidRDefault="008F3FFB" w:rsidP="008F3FFB">
      <w:pPr>
        <w:autoSpaceDE w:val="0"/>
        <w:autoSpaceDN w:val="0"/>
        <w:adjustRightInd w:val="0"/>
      </w:pPr>
    </w:p>
    <w:p w:rsidR="008F3FFB" w:rsidRPr="00C5282B" w:rsidRDefault="00B401EA" w:rsidP="008F3FFB">
      <w:pPr>
        <w:autoSpaceDE w:val="0"/>
        <w:autoSpaceDN w:val="0"/>
        <w:adjustRightInd w:val="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Глава</w:t>
      </w:r>
      <w:r w:rsidR="008F3FFB" w:rsidRPr="00C5282B">
        <w:rPr>
          <w:rFonts w:eastAsia="Times New Roman"/>
          <w:bCs/>
          <w:szCs w:val="20"/>
        </w:rPr>
        <w:t xml:space="preserve"> городского поселения Советский                                           </w:t>
      </w:r>
      <w:r>
        <w:rPr>
          <w:rFonts w:eastAsia="Times New Roman"/>
          <w:bCs/>
          <w:szCs w:val="20"/>
        </w:rPr>
        <w:t xml:space="preserve"> </w:t>
      </w:r>
      <w:r w:rsidR="008F3FFB" w:rsidRPr="00C5282B">
        <w:rPr>
          <w:rFonts w:eastAsia="Times New Roman"/>
          <w:bCs/>
          <w:szCs w:val="20"/>
        </w:rPr>
        <w:t xml:space="preserve">                       </w:t>
      </w:r>
      <w:r>
        <w:rPr>
          <w:rFonts w:eastAsia="Times New Roman"/>
        </w:rPr>
        <w:t>А.Т. Кулагин</w:t>
      </w:r>
    </w:p>
    <w:p w:rsidR="00B0287E" w:rsidRPr="00B0287E" w:rsidRDefault="008F3FFB" w:rsidP="00B0287E">
      <w:pPr>
        <w:pStyle w:val="a8"/>
        <w:ind w:left="-180"/>
        <w:rPr>
          <w:szCs w:val="24"/>
          <w:lang w:val="ru-RU" w:eastAsia="ru-RU"/>
        </w:rPr>
      </w:pPr>
      <w:r>
        <w:br w:type="page"/>
      </w:r>
    </w:p>
    <w:p w:rsidR="00B0287E" w:rsidRDefault="00B0287E" w:rsidP="00B0287E">
      <w:pPr>
        <w:shd w:val="clear" w:color="auto" w:fill="FFFFFF"/>
        <w:tabs>
          <w:tab w:val="left" w:pos="851"/>
          <w:tab w:val="left" w:pos="993"/>
        </w:tabs>
        <w:suppressAutoHyphens/>
        <w:ind w:firstLine="567"/>
        <w:jc w:val="center"/>
        <w:rPr>
          <w:rFonts w:eastAsia="Times New Roman"/>
          <w:b/>
          <w:bCs/>
          <w:spacing w:val="-2"/>
          <w:lang w:eastAsia="zh-CN"/>
        </w:rPr>
        <w:sectPr w:rsidR="00B0287E" w:rsidSect="00B0287E">
          <w:footerReference w:type="default" r:id="rId9"/>
          <w:pgSz w:w="11906" w:h="16838"/>
          <w:pgMar w:top="1134" w:right="709" w:bottom="992" w:left="1701" w:header="709" w:footer="170" w:gutter="0"/>
          <w:cols w:space="708"/>
          <w:titlePg/>
          <w:docGrid w:linePitch="360"/>
        </w:sectPr>
      </w:pPr>
    </w:p>
    <w:p w:rsidR="00B0287E" w:rsidRPr="00B0287E" w:rsidRDefault="00B0287E" w:rsidP="00B0287E">
      <w:pPr>
        <w:shd w:val="clear" w:color="auto" w:fill="FFFFFF"/>
        <w:tabs>
          <w:tab w:val="left" w:pos="851"/>
          <w:tab w:val="left" w:pos="993"/>
        </w:tabs>
        <w:suppressAutoHyphens/>
        <w:ind w:left="10773"/>
        <w:rPr>
          <w:rFonts w:eastAsia="Times New Roman"/>
          <w:bCs/>
          <w:spacing w:val="-2"/>
          <w:lang w:eastAsia="zh-CN"/>
        </w:rPr>
      </w:pPr>
      <w:r w:rsidRPr="00B0287E">
        <w:rPr>
          <w:rFonts w:eastAsia="Times New Roman"/>
          <w:bCs/>
          <w:spacing w:val="-2"/>
          <w:lang w:eastAsia="zh-CN"/>
        </w:rPr>
        <w:lastRenderedPageBreak/>
        <w:t xml:space="preserve">Приложение </w:t>
      </w:r>
    </w:p>
    <w:p w:rsidR="00B0287E" w:rsidRPr="00B0287E" w:rsidRDefault="00B0287E" w:rsidP="00B0287E">
      <w:pPr>
        <w:shd w:val="clear" w:color="auto" w:fill="FFFFFF"/>
        <w:tabs>
          <w:tab w:val="left" w:pos="851"/>
          <w:tab w:val="left" w:pos="993"/>
        </w:tabs>
        <w:suppressAutoHyphens/>
        <w:ind w:left="10773"/>
        <w:rPr>
          <w:rFonts w:eastAsia="Times New Roman"/>
          <w:bCs/>
          <w:spacing w:val="-2"/>
          <w:lang w:eastAsia="zh-CN"/>
        </w:rPr>
      </w:pPr>
      <w:r w:rsidRPr="00B0287E">
        <w:rPr>
          <w:rFonts w:eastAsia="Times New Roman"/>
          <w:bCs/>
          <w:spacing w:val="-2"/>
          <w:lang w:eastAsia="zh-CN"/>
        </w:rPr>
        <w:t xml:space="preserve">к постановлению Администрации </w:t>
      </w:r>
    </w:p>
    <w:p w:rsidR="00B0287E" w:rsidRDefault="00B0287E" w:rsidP="00B0287E">
      <w:pPr>
        <w:shd w:val="clear" w:color="auto" w:fill="FFFFFF"/>
        <w:tabs>
          <w:tab w:val="left" w:pos="851"/>
          <w:tab w:val="left" w:pos="993"/>
        </w:tabs>
        <w:suppressAutoHyphens/>
        <w:ind w:left="10773"/>
        <w:rPr>
          <w:rFonts w:eastAsia="Times New Roman"/>
          <w:bCs/>
          <w:spacing w:val="-2"/>
          <w:lang w:eastAsia="zh-CN"/>
        </w:rPr>
      </w:pPr>
      <w:r w:rsidRPr="00B0287E">
        <w:rPr>
          <w:rFonts w:eastAsia="Times New Roman"/>
          <w:bCs/>
          <w:spacing w:val="-2"/>
          <w:lang w:eastAsia="zh-CN"/>
        </w:rPr>
        <w:t xml:space="preserve">городского поселения </w:t>
      </w:r>
      <w:proofErr w:type="gramStart"/>
      <w:r w:rsidRPr="00B0287E">
        <w:rPr>
          <w:rFonts w:eastAsia="Times New Roman"/>
          <w:bCs/>
          <w:spacing w:val="-2"/>
          <w:lang w:eastAsia="zh-CN"/>
        </w:rPr>
        <w:t>Советский</w:t>
      </w:r>
      <w:proofErr w:type="gramEnd"/>
    </w:p>
    <w:p w:rsidR="00B0287E" w:rsidRPr="00B0287E" w:rsidRDefault="00B0287E" w:rsidP="00B0287E">
      <w:pPr>
        <w:shd w:val="clear" w:color="auto" w:fill="FFFFFF"/>
        <w:tabs>
          <w:tab w:val="left" w:pos="851"/>
          <w:tab w:val="left" w:pos="993"/>
        </w:tabs>
        <w:suppressAutoHyphens/>
        <w:ind w:left="10773"/>
        <w:rPr>
          <w:rFonts w:eastAsia="Times New Roman"/>
          <w:bCs/>
          <w:spacing w:val="-2"/>
          <w:lang w:eastAsia="zh-CN"/>
        </w:rPr>
      </w:pPr>
      <w:r>
        <w:rPr>
          <w:rFonts w:eastAsia="Times New Roman"/>
          <w:bCs/>
          <w:spacing w:val="-2"/>
          <w:lang w:eastAsia="zh-CN"/>
        </w:rPr>
        <w:t>от 04.04.2022 № 169</w:t>
      </w:r>
    </w:p>
    <w:p w:rsidR="00B0287E" w:rsidRDefault="00B0287E" w:rsidP="00B0287E">
      <w:pPr>
        <w:shd w:val="clear" w:color="auto" w:fill="FFFFFF"/>
        <w:tabs>
          <w:tab w:val="left" w:pos="851"/>
          <w:tab w:val="left" w:pos="993"/>
        </w:tabs>
        <w:suppressAutoHyphens/>
        <w:ind w:firstLine="567"/>
        <w:jc w:val="center"/>
        <w:rPr>
          <w:rFonts w:eastAsia="Times New Roman"/>
          <w:b/>
          <w:bCs/>
          <w:spacing w:val="-2"/>
          <w:lang w:eastAsia="zh-CN"/>
        </w:rPr>
      </w:pPr>
    </w:p>
    <w:p w:rsidR="00B0287E" w:rsidRPr="00B0287E" w:rsidRDefault="00B0287E" w:rsidP="00B0287E">
      <w:pPr>
        <w:shd w:val="clear" w:color="auto" w:fill="FFFFFF"/>
        <w:tabs>
          <w:tab w:val="left" w:pos="851"/>
          <w:tab w:val="left" w:pos="993"/>
        </w:tabs>
        <w:suppressAutoHyphens/>
        <w:ind w:firstLine="567"/>
        <w:jc w:val="center"/>
        <w:rPr>
          <w:rFonts w:eastAsia="Times New Roman"/>
          <w:sz w:val="20"/>
          <w:szCs w:val="20"/>
          <w:lang w:eastAsia="zh-CN"/>
        </w:rPr>
      </w:pPr>
      <w:r w:rsidRPr="00B0287E">
        <w:rPr>
          <w:rFonts w:eastAsia="Times New Roman"/>
          <w:b/>
          <w:bCs/>
          <w:spacing w:val="-2"/>
          <w:lang w:eastAsia="zh-CN"/>
        </w:rPr>
        <w:t xml:space="preserve">План мероприятий по росту доходов, оптимизации расходов бюджета городского поселения Советский и </w:t>
      </w:r>
    </w:p>
    <w:p w:rsidR="00B0287E" w:rsidRPr="00B0287E" w:rsidRDefault="00B0287E" w:rsidP="00B0287E">
      <w:pPr>
        <w:shd w:val="clear" w:color="auto" w:fill="FFFFFF"/>
        <w:tabs>
          <w:tab w:val="left" w:pos="851"/>
          <w:tab w:val="left" w:pos="993"/>
        </w:tabs>
        <w:suppressAutoHyphens/>
        <w:ind w:firstLine="567"/>
        <w:jc w:val="center"/>
        <w:rPr>
          <w:rFonts w:eastAsia="Times New Roman"/>
          <w:sz w:val="20"/>
          <w:szCs w:val="20"/>
          <w:lang w:eastAsia="zh-CN"/>
        </w:rPr>
      </w:pPr>
      <w:r w:rsidRPr="00B0287E">
        <w:rPr>
          <w:rFonts w:eastAsia="Times New Roman"/>
          <w:b/>
          <w:bCs/>
          <w:spacing w:val="-2"/>
          <w:lang w:eastAsia="zh-CN"/>
        </w:rPr>
        <w:t>сокращению муниципального долга на 2022 год и плановый период 2023-2024 годы</w:t>
      </w:r>
    </w:p>
    <w:p w:rsidR="00B0287E" w:rsidRPr="00B0287E" w:rsidRDefault="00B0287E" w:rsidP="00B0287E">
      <w:pPr>
        <w:shd w:val="clear" w:color="auto" w:fill="FFFFFF"/>
        <w:tabs>
          <w:tab w:val="left" w:pos="4536"/>
        </w:tabs>
        <w:suppressAutoHyphens/>
        <w:jc w:val="right"/>
        <w:rPr>
          <w:rFonts w:eastAsia="Times New Roman"/>
          <w:lang w:eastAsia="zh-CN"/>
        </w:rPr>
      </w:pPr>
    </w:p>
    <w:tbl>
      <w:tblPr>
        <w:tblW w:w="1521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452"/>
        <w:gridCol w:w="1416"/>
        <w:gridCol w:w="850"/>
        <w:gridCol w:w="2552"/>
        <w:gridCol w:w="2693"/>
        <w:gridCol w:w="709"/>
        <w:gridCol w:w="708"/>
        <w:gridCol w:w="709"/>
        <w:gridCol w:w="911"/>
        <w:gridCol w:w="876"/>
        <w:gridCol w:w="761"/>
      </w:tblGrid>
      <w:tr w:rsidR="00B0287E" w:rsidRPr="00B0287E" w:rsidTr="00B0287E">
        <w:trPr>
          <w:trHeight w:val="1039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B0287E">
              <w:rPr>
                <w:rFonts w:eastAsia="Times New Roman"/>
                <w:color w:val="000000"/>
              </w:rPr>
              <w:t>п</w:t>
            </w:r>
            <w:proofErr w:type="gramEnd"/>
            <w:r w:rsidRPr="00B0287E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452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Наименование мероприятий</w:t>
            </w:r>
          </w:p>
        </w:tc>
        <w:tc>
          <w:tcPr>
            <w:tcW w:w="1416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0287E">
              <w:rPr>
                <w:rFonts w:eastAsia="Times New Roman"/>
                <w:color w:val="000000"/>
              </w:rPr>
              <w:t>Ответствен-</w:t>
            </w:r>
            <w:proofErr w:type="spellStart"/>
            <w:r w:rsidRPr="00B0287E">
              <w:rPr>
                <w:rFonts w:eastAsia="Times New Roman"/>
                <w:color w:val="000000"/>
              </w:rPr>
              <w:t>ный</w:t>
            </w:r>
            <w:proofErr w:type="spellEnd"/>
            <w:proofErr w:type="gramEnd"/>
            <w:r w:rsidRPr="00B0287E">
              <w:rPr>
                <w:rFonts w:eastAsia="Times New Roman"/>
                <w:color w:val="000000"/>
              </w:rPr>
              <w:t xml:space="preserve"> за исполнение</w:t>
            </w:r>
          </w:p>
        </w:tc>
        <w:tc>
          <w:tcPr>
            <w:tcW w:w="850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 xml:space="preserve">Срок </w:t>
            </w:r>
            <w:proofErr w:type="spellStart"/>
            <w:proofErr w:type="gramStart"/>
            <w:r w:rsidRPr="00B0287E">
              <w:rPr>
                <w:rFonts w:eastAsia="Times New Roman"/>
                <w:color w:val="000000"/>
              </w:rPr>
              <w:t>реали-зации</w:t>
            </w:r>
            <w:proofErr w:type="spellEnd"/>
            <w:proofErr w:type="gramEnd"/>
          </w:p>
        </w:tc>
        <w:tc>
          <w:tcPr>
            <w:tcW w:w="2552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Нормативный правовой акт (или проект) или иной документ</w:t>
            </w:r>
          </w:p>
        </w:tc>
        <w:tc>
          <w:tcPr>
            <w:tcW w:w="2693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Целевой показатель</w:t>
            </w:r>
          </w:p>
        </w:tc>
        <w:tc>
          <w:tcPr>
            <w:tcW w:w="2126" w:type="dxa"/>
            <w:gridSpan w:val="3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Значение целевого показателя</w:t>
            </w:r>
          </w:p>
        </w:tc>
        <w:tc>
          <w:tcPr>
            <w:tcW w:w="2548" w:type="dxa"/>
            <w:gridSpan w:val="3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Бюджетный эффект</w:t>
            </w:r>
            <w:r w:rsidRPr="00B0287E">
              <w:rPr>
                <w:rFonts w:eastAsia="Times New Roman"/>
                <w:color w:val="000000"/>
              </w:rPr>
              <w:br/>
              <w:t xml:space="preserve">от реализации мероприятий, </w:t>
            </w:r>
            <w:r w:rsidRPr="00B0287E">
              <w:rPr>
                <w:rFonts w:eastAsia="Times New Roman"/>
                <w:color w:val="000000"/>
              </w:rPr>
              <w:br/>
              <w:t>тыс. рублей</w:t>
            </w:r>
          </w:p>
        </w:tc>
      </w:tr>
      <w:tr w:rsidR="00B0287E" w:rsidRPr="00B0287E" w:rsidTr="00B0287E">
        <w:trPr>
          <w:trHeight w:val="134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52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6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0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693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6" w:type="dxa"/>
            <w:gridSpan w:val="3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48" w:type="dxa"/>
            <w:gridSpan w:val="3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8</w:t>
            </w:r>
          </w:p>
        </w:tc>
      </w:tr>
      <w:tr w:rsidR="00B0287E" w:rsidRPr="00B0287E" w:rsidTr="00B0287E">
        <w:trPr>
          <w:trHeight w:val="184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4637" w:type="dxa"/>
            <w:gridSpan w:val="11"/>
            <w:hideMark/>
          </w:tcPr>
          <w:p w:rsidR="00B0287E" w:rsidRPr="00B0287E" w:rsidRDefault="00B0287E" w:rsidP="00B0287E">
            <w:pPr>
              <w:tabs>
                <w:tab w:val="left" w:pos="12031"/>
              </w:tabs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/>
                <w:bCs/>
                <w:color w:val="000000"/>
              </w:rPr>
              <w:t xml:space="preserve">Мероприятия по увеличению налоговых и неналоговых доходов бюджета городского поселения </w:t>
            </w:r>
            <w:proofErr w:type="gramStart"/>
            <w:r w:rsidRPr="00B0287E">
              <w:rPr>
                <w:rFonts w:eastAsia="Times New Roman"/>
                <w:b/>
                <w:bCs/>
                <w:color w:val="000000"/>
              </w:rPr>
              <w:t>Советский</w:t>
            </w:r>
            <w:proofErr w:type="gramEnd"/>
          </w:p>
        </w:tc>
      </w:tr>
      <w:tr w:rsidR="00B0287E" w:rsidRPr="00B0287E" w:rsidTr="00B0287E">
        <w:trPr>
          <w:trHeight w:val="422"/>
        </w:trPr>
        <w:tc>
          <w:tcPr>
            <w:tcW w:w="581" w:type="dxa"/>
          </w:tcPr>
          <w:p w:rsidR="00B0287E" w:rsidRPr="00B0287E" w:rsidRDefault="00B0287E" w:rsidP="00B0287E">
            <w:pPr>
              <w:suppressAutoHyphens/>
              <w:snapToGri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2" w:type="dxa"/>
            <w:vAlign w:val="bottom"/>
          </w:tcPr>
          <w:p w:rsidR="00B0287E" w:rsidRPr="00B0287E" w:rsidRDefault="00B0287E" w:rsidP="00B0287E">
            <w:pPr>
              <w:suppressAutoHyphens/>
              <w:snapToGri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vAlign w:val="bottom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Align w:val="bottom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2022 год</w:t>
            </w:r>
          </w:p>
        </w:tc>
        <w:tc>
          <w:tcPr>
            <w:tcW w:w="708" w:type="dxa"/>
            <w:vAlign w:val="center"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2024 год</w:t>
            </w:r>
          </w:p>
        </w:tc>
        <w:tc>
          <w:tcPr>
            <w:tcW w:w="911" w:type="dxa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2022 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год</w:t>
            </w:r>
          </w:p>
        </w:tc>
        <w:tc>
          <w:tcPr>
            <w:tcW w:w="876" w:type="dxa"/>
            <w:vAlign w:val="center"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>2023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 год</w:t>
            </w:r>
          </w:p>
        </w:tc>
        <w:tc>
          <w:tcPr>
            <w:tcW w:w="761" w:type="dxa"/>
            <w:vAlign w:val="center"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2024 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год</w:t>
            </w:r>
          </w:p>
        </w:tc>
      </w:tr>
      <w:tr w:rsidR="00B0287E" w:rsidRPr="00B0287E" w:rsidTr="00B0287E">
        <w:trPr>
          <w:trHeight w:val="188"/>
        </w:trPr>
        <w:tc>
          <w:tcPr>
            <w:tcW w:w="581" w:type="dxa"/>
          </w:tcPr>
          <w:p w:rsidR="00B0287E" w:rsidRPr="00B0287E" w:rsidRDefault="00B0287E" w:rsidP="00B0287E">
            <w:pPr>
              <w:suppressAutoHyphens/>
              <w:snapToGrid w:val="0"/>
              <w:ind w:right="-148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63" w:type="dxa"/>
            <w:gridSpan w:val="5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Итого по доходам,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287E" w:rsidRPr="00B0287E" w:rsidRDefault="00B0287E" w:rsidP="00B0287E">
            <w:pPr>
              <w:suppressAutoHyphens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0287E" w:rsidRPr="00B0287E" w:rsidRDefault="00B0287E" w:rsidP="00B0287E">
            <w:pPr>
              <w:suppressAutoHyphens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0287E" w:rsidRPr="00B0287E" w:rsidRDefault="00B0287E" w:rsidP="00B0287E">
            <w:pPr>
              <w:suppressAutoHyphens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2730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B0287E" w:rsidRPr="00B0287E" w:rsidRDefault="00B0287E" w:rsidP="00B0287E">
            <w:pPr>
              <w:suppressAutoHyphens/>
              <w:ind w:left="-108" w:right="-87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val="en-US" w:eastAsia="zh-CN"/>
              </w:rPr>
              <w:t>2</w:t>
            </w:r>
            <w:r w:rsidRPr="00B0287E">
              <w:rPr>
                <w:rFonts w:eastAsia="Times New Roman"/>
                <w:lang w:eastAsia="zh-CN"/>
              </w:rPr>
              <w:t>200</w:t>
            </w:r>
          </w:p>
          <w:p w:rsidR="00B0287E" w:rsidRPr="00B0287E" w:rsidRDefault="00B0287E" w:rsidP="00B0287E">
            <w:pPr>
              <w:suppressAutoHyphens/>
              <w:ind w:left="-108" w:right="-87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B0287E" w:rsidRPr="00B0287E" w:rsidRDefault="00B0287E" w:rsidP="00B0287E">
            <w:pPr>
              <w:suppressAutoHyphens/>
              <w:ind w:left="-129" w:right="-87"/>
              <w:jc w:val="center"/>
              <w:rPr>
                <w:rFonts w:eastAsia="Times New Roman"/>
                <w:lang w:val="en-US" w:eastAsia="zh-CN"/>
              </w:rPr>
            </w:pPr>
            <w:r w:rsidRPr="00B0287E">
              <w:rPr>
                <w:rFonts w:eastAsia="Times New Roman"/>
                <w:lang w:val="en-US" w:eastAsia="zh-CN"/>
              </w:rPr>
              <w:t>2</w:t>
            </w:r>
            <w:r w:rsidRPr="00B0287E">
              <w:rPr>
                <w:rFonts w:eastAsia="Times New Roman"/>
                <w:lang w:eastAsia="zh-CN"/>
              </w:rPr>
              <w:t>20</w:t>
            </w:r>
            <w:r w:rsidRPr="00B0287E">
              <w:rPr>
                <w:rFonts w:eastAsia="Times New Roman"/>
                <w:lang w:val="en-US" w:eastAsia="zh-CN"/>
              </w:rPr>
              <w:t>0</w:t>
            </w:r>
          </w:p>
          <w:p w:rsidR="00B0287E" w:rsidRPr="00B0287E" w:rsidRDefault="00B0287E" w:rsidP="00B0287E">
            <w:pPr>
              <w:suppressAutoHyphens/>
              <w:ind w:left="-129" w:right="-87"/>
              <w:jc w:val="center"/>
              <w:rPr>
                <w:rFonts w:eastAsia="Times New Roman"/>
                <w:lang w:eastAsia="zh-CN"/>
              </w:rPr>
            </w:pP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sz w:val="20"/>
                <w:szCs w:val="20"/>
                <w:highlight w:val="green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Проведение </w:t>
            </w:r>
            <w:proofErr w:type="spell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претензионно</w:t>
            </w:r>
            <w:proofErr w:type="spell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-исковой работы по взысканию задолженности по договорам социального найма  в бюджет </w:t>
            </w:r>
            <w:proofErr w:type="spell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г.п</w:t>
            </w:r>
            <w:proofErr w:type="gram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.С</w:t>
            </w:r>
            <w:proofErr w:type="gram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оветский</w:t>
            </w:r>
            <w:proofErr w:type="spell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. Направление уведомлений на погашение задолженности. Передача материалов в суд для принудительного взыскания задолженности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57" w:right="57"/>
              <w:jc w:val="center"/>
              <w:rPr>
                <w:rFonts w:eastAsia="Times New Roman"/>
                <w:sz w:val="22"/>
                <w:szCs w:val="22"/>
                <w:highlight w:val="green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Управление экспертно-правовой работы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snapToGrid w:val="0"/>
              <w:ind w:left="57" w:right="57"/>
              <w:jc w:val="center"/>
              <w:rPr>
                <w:rFonts w:eastAsia="Times New Roman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57" w:right="57"/>
              <w:jc w:val="both"/>
              <w:rPr>
                <w:rFonts w:eastAsia="Times New Roman"/>
                <w:sz w:val="22"/>
                <w:szCs w:val="22"/>
                <w:highlight w:val="green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Снижение недоимки по договорам соц. найма.  </w:t>
            </w:r>
            <w:r w:rsidRPr="00B0287E">
              <w:rPr>
                <w:rFonts w:eastAsia="Times New Roman"/>
                <w:sz w:val="22"/>
                <w:szCs w:val="22"/>
                <w:lang w:eastAsia="zh-CN"/>
              </w:rPr>
              <w:t>Количество человек, оплативших задолженность, ед.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50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50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600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600</w:t>
            </w:r>
          </w:p>
        </w:tc>
        <w:tc>
          <w:tcPr>
            <w:tcW w:w="761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600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lastRenderedPageBreak/>
              <w:t>1.2.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Проведение </w:t>
            </w:r>
            <w:proofErr w:type="spell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претензионно</w:t>
            </w:r>
            <w:proofErr w:type="spell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-исковой работы по взысканию задолженности по договорам аренды 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Управление экспертно-правовой работы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Снижение количества налогоплательщиков имеющих задолженность, чел.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25</w:t>
            </w:r>
          </w:p>
        </w:tc>
        <w:tc>
          <w:tcPr>
            <w:tcW w:w="911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550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550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550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Направление писем с рекомендациями о погашении задолженности физическим лицам, индивидуальным предпринимателям, предприятиям, имеющим задолженность по местным налогам и сборам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Бухгалтерия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Снижение количества налогоплательщиков имеющих задолженность, чел.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50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50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11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50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Направление писем с рекомендациями о погашении задолженности физическим лицам, индивидуальным предпринимателям, предприятиям, имеющим задолженность по НДФЛ 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Бухгалтерия</w:t>
            </w:r>
          </w:p>
        </w:tc>
        <w:tc>
          <w:tcPr>
            <w:tcW w:w="850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Снижение количества налогоплательщиков имеющих задолженность, чел.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50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50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120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2452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Проводить торги на право заключения договоров аренды, либо продажи неиспользуемого имущества, находящегося в муниципальной собственности </w:t>
            </w:r>
          </w:p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Управление муниципальной собственности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Рост поступлений в бюджет поселения по отношению к предыдущему году. Количество проведенных торгов, ед.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</w:rPr>
              <w:t>150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lastRenderedPageBreak/>
              <w:t>1.6.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Выявление объектов налогообложения, в отношении которых налогооблагаемая база определяется как кадастровая стоимость, не включенная в перечень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Бухгалтерия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Приказ Департамента финансов Ханты-Мансийского автономного округа - Югры от 30.11.2016 г. № 133-о "Об определении перечня объектов  не </w:t>
            </w:r>
            <w:proofErr w:type="spell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движ</w:t>
            </w:r>
            <w:proofErr w:type="spell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. имущества, в отношении которых налоговая база определяется как  к. </w:t>
            </w:r>
            <w:proofErr w:type="gram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с</w:t>
            </w:r>
            <w:proofErr w:type="gram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Увеличение кол-ва объектов, по которым налоговая база определяется исходя из кадастровой стоимости,</w:t>
            </w:r>
          </w:p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ед.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1 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t>1.7.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Выявление самовольно занятых земельных участков под строительство или их использование без оформленных в установленном порядке документов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Управление муниципальной собственности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Снижение самовольно занятых земель, рост поступлений по аренде и земельному налогу. Количество выявленных самовольно занятых земельных участков, ед.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val="en-US" w:eastAsia="zh-CN"/>
              </w:rPr>
            </w:pPr>
            <w:r w:rsidRPr="00B0287E">
              <w:rPr>
                <w:rFonts w:eastAsia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1</w:t>
            </w:r>
            <w:r w:rsidRPr="00B0287E">
              <w:rPr>
                <w:rFonts w:eastAsia="Times New Roman"/>
                <w:color w:val="000000"/>
                <w:lang w:val="en-US"/>
              </w:rPr>
              <w:t>0</w:t>
            </w:r>
            <w:r w:rsidRPr="00B0287E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t>1.8.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Проводить торги на право заключения договоров аренды земельных участков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Управление муниципальной собственности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Рост поступлений  от аренды земельных участков в  бюджет поселения по отношению к предыдущему году. Количество проведенных торгов, шт.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val="en-US" w:eastAsia="zh-CN"/>
              </w:rPr>
            </w:pPr>
            <w:r w:rsidRPr="00B0287E">
              <w:rPr>
                <w:rFonts w:eastAsia="Times New Roman"/>
                <w:color w:val="000000"/>
                <w:lang w:val="en-US" w:eastAsia="zh-CN"/>
              </w:rPr>
              <w:t>10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1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200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t>1.9.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Подготовка договоров купли-продажи земельных участков 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Управление муниципальной собственности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Рост поступлений в бюджет. Количество договоров, шт.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150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100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100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3</w:t>
            </w:r>
            <w:r w:rsidRPr="00B0287E">
              <w:rPr>
                <w:rFonts w:eastAsia="Times New Roman"/>
                <w:color w:val="000000"/>
                <w:lang w:val="en-US"/>
              </w:rPr>
              <w:t>3</w:t>
            </w: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3</w:t>
            </w:r>
            <w:r w:rsidRPr="00B0287E">
              <w:rPr>
                <w:rFonts w:eastAsia="Times New Roman"/>
                <w:color w:val="000000"/>
                <w:lang w:val="en-US"/>
              </w:rPr>
              <w:t>3</w:t>
            </w:r>
            <w:r w:rsidRPr="00B0287E">
              <w:rPr>
                <w:rFonts w:eastAsia="Times New Roman"/>
                <w:color w:val="000000"/>
              </w:rPr>
              <w:t>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t>1.10.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Индексация размера арендной платы за исп. земель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Управление муниципальной собственности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Постоянно, 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Увеличение поступлений от арендной платы за использование земель, изменение арендной платы</w:t>
            </w: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на размер уровня инфляции, %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4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1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200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200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  <w:lang w:val="en-US"/>
              </w:rPr>
              <w:t>200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lastRenderedPageBreak/>
              <w:t>1.11.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Привлечение безвозмездных поступлений от юридических и физических лиц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Общий отдел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Рост поступлений в бюджет поселения по отношению к предыдущему году. Количество юридических и физических лиц оказавших финансовую поддержку, ед.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</w:tr>
      <w:tr w:rsidR="00B0287E" w:rsidRPr="00B0287E" w:rsidTr="00B0287E">
        <w:trPr>
          <w:trHeight w:val="841"/>
        </w:trPr>
        <w:tc>
          <w:tcPr>
            <w:tcW w:w="581" w:type="dxa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color w:val="000000"/>
                <w:highlight w:val="green"/>
              </w:rPr>
            </w:pPr>
            <w:r w:rsidRPr="00B0287E">
              <w:rPr>
                <w:rFonts w:eastAsia="Times New Roman"/>
                <w:color w:val="000000"/>
              </w:rPr>
              <w:t>1.12.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Участие в муниципальной программе «Улучшение условий охраны труда, содействие занятости населения в Советском районе»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Общий отдел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Создание в муниципальных организациях временных рабочих мест для безработных граждан, зарегистрированных в органах службы занятости населения. Количество созданных рабочих мест, (ед.</w:t>
            </w:r>
            <w:proofErr w:type="gram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)с</w:t>
            </w:r>
            <w:proofErr w:type="gram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начислений которых отчисляется НДФЛ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30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108"/>
              <w:jc w:val="center"/>
              <w:rPr>
                <w:rFonts w:eastAsia="Times New Roman"/>
                <w:color w:val="000000"/>
                <w:lang w:val="en-US"/>
              </w:rPr>
            </w:pPr>
            <w:r w:rsidRPr="00B0287E">
              <w:rPr>
                <w:rFonts w:eastAsia="Times New Roman"/>
                <w:color w:val="000000"/>
              </w:rPr>
              <w:t>50</w:t>
            </w:r>
            <w:r w:rsidRPr="00B0287E"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86" w:right="-130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0</w:t>
            </w:r>
          </w:p>
        </w:tc>
      </w:tr>
      <w:tr w:rsidR="00B0287E" w:rsidRPr="00B0287E" w:rsidTr="00B0287E">
        <w:trPr>
          <w:trHeight w:val="291"/>
        </w:trPr>
        <w:tc>
          <w:tcPr>
            <w:tcW w:w="58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/>
                <w:color w:val="000000"/>
              </w:rPr>
              <w:t>2.</w:t>
            </w:r>
          </w:p>
        </w:tc>
        <w:tc>
          <w:tcPr>
            <w:tcW w:w="14637" w:type="dxa"/>
            <w:gridSpan w:val="11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/>
                <w:bCs/>
                <w:color w:val="000000"/>
              </w:rPr>
              <w:t xml:space="preserve">Мероприятия по оптимизации расходов бюджета городского поселения </w:t>
            </w:r>
            <w:proofErr w:type="gramStart"/>
            <w:r w:rsidRPr="00B0287E">
              <w:rPr>
                <w:rFonts w:eastAsia="Times New Roman"/>
                <w:b/>
                <w:bCs/>
                <w:color w:val="000000"/>
              </w:rPr>
              <w:t>Советский</w:t>
            </w:r>
            <w:proofErr w:type="gramEnd"/>
          </w:p>
        </w:tc>
      </w:tr>
      <w:tr w:rsidR="00B0287E" w:rsidRPr="00B0287E" w:rsidTr="00B0287E">
        <w:trPr>
          <w:trHeight w:val="350"/>
        </w:trPr>
        <w:tc>
          <w:tcPr>
            <w:tcW w:w="581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ind w:right="-148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63" w:type="dxa"/>
            <w:gridSpan w:val="5"/>
            <w:shd w:val="clear" w:color="auto" w:fill="FFFFFF"/>
          </w:tcPr>
          <w:p w:rsidR="00B0287E" w:rsidRPr="00B0287E" w:rsidRDefault="00B0287E" w:rsidP="00B0287E">
            <w:pPr>
              <w:suppressAutoHyphens/>
              <w:ind w:left="57" w:right="57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2022 год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2023 год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2024 год</w:t>
            </w:r>
          </w:p>
        </w:tc>
        <w:tc>
          <w:tcPr>
            <w:tcW w:w="911" w:type="dxa"/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2022 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год</w:t>
            </w:r>
          </w:p>
        </w:tc>
        <w:tc>
          <w:tcPr>
            <w:tcW w:w="876" w:type="dxa"/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>2023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 год</w:t>
            </w:r>
          </w:p>
        </w:tc>
        <w:tc>
          <w:tcPr>
            <w:tcW w:w="761" w:type="dxa"/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2024 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год</w:t>
            </w:r>
          </w:p>
        </w:tc>
      </w:tr>
      <w:tr w:rsidR="00B0287E" w:rsidRPr="00B0287E" w:rsidTr="00B0287E">
        <w:trPr>
          <w:trHeight w:val="350"/>
        </w:trPr>
        <w:tc>
          <w:tcPr>
            <w:tcW w:w="581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ind w:right="-148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63" w:type="dxa"/>
            <w:gridSpan w:val="5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57" w:right="57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Итого по расходам, в том числе:</w:t>
            </w:r>
          </w:p>
        </w:tc>
        <w:tc>
          <w:tcPr>
            <w:tcW w:w="709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7000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7000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7000</w:t>
            </w:r>
          </w:p>
        </w:tc>
      </w:tr>
      <w:tr w:rsidR="00B0287E" w:rsidRPr="00B0287E" w:rsidTr="00B0287E">
        <w:trPr>
          <w:trHeight w:val="288"/>
        </w:trPr>
        <w:tc>
          <w:tcPr>
            <w:tcW w:w="58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Экономия, выявленная при проведении котировок, конкурсов, аукционов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Сектор муниципального заказа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sz w:val="22"/>
                <w:szCs w:val="22"/>
                <w:lang w:eastAsia="zh-CN"/>
              </w:rPr>
              <w:t> Постоянно, в течение года</w:t>
            </w:r>
          </w:p>
        </w:tc>
        <w:tc>
          <w:tcPr>
            <w:tcW w:w="2552" w:type="dxa"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sz w:val="22"/>
                <w:szCs w:val="22"/>
                <w:lang w:eastAsia="zh-CN"/>
              </w:rPr>
              <w:t>Условная экономия бюджетных средств за счет снижения начальной (максимальной) цены</w:t>
            </w:r>
          </w:p>
        </w:tc>
        <w:tc>
          <w:tcPr>
            <w:tcW w:w="709" w:type="dxa"/>
            <w:shd w:val="clear" w:color="auto" w:fill="FFFFFF"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val="en-US" w:eastAsia="zh-CN"/>
              </w:rPr>
            </w:pPr>
            <w:r w:rsidRPr="00B0287E">
              <w:rPr>
                <w:rFonts w:eastAsia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val="en-US" w:eastAsia="zh-CN"/>
              </w:rPr>
              <w:t>70</w:t>
            </w:r>
            <w:r w:rsidRPr="00B0287E">
              <w:rPr>
                <w:rFonts w:eastAsia="Times New Roman"/>
                <w:lang w:eastAsia="zh-CN"/>
              </w:rPr>
              <w:t>00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7000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7000</w:t>
            </w:r>
          </w:p>
        </w:tc>
      </w:tr>
      <w:tr w:rsidR="00B0287E" w:rsidRPr="00B0287E" w:rsidTr="00B0287E">
        <w:trPr>
          <w:trHeight w:val="288"/>
        </w:trPr>
        <w:tc>
          <w:tcPr>
            <w:tcW w:w="58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2.2.</w:t>
            </w:r>
          </w:p>
        </w:tc>
        <w:tc>
          <w:tcPr>
            <w:tcW w:w="2452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lang w:eastAsia="zh-CN"/>
              </w:rPr>
            </w:pPr>
            <w:proofErr w:type="gramStart"/>
            <w:r w:rsidRPr="00B0287E">
              <w:rPr>
                <w:rFonts w:eastAsia="Times New Roman"/>
                <w:lang w:eastAsia="zh-CN"/>
              </w:rPr>
              <w:t>Мероприятия</w:t>
            </w:r>
            <w:proofErr w:type="gramEnd"/>
            <w:r w:rsidRPr="00B0287E">
              <w:rPr>
                <w:rFonts w:eastAsia="Times New Roman"/>
                <w:lang w:eastAsia="zh-CN"/>
              </w:rPr>
              <w:t xml:space="preserve"> направленные на энергосбережение и повышение энергетической эффективности использования электрической энергии при эксплуатации </w:t>
            </w:r>
            <w:r w:rsidRPr="00B0287E">
              <w:rPr>
                <w:rFonts w:eastAsia="Times New Roman"/>
                <w:lang w:eastAsia="zh-CN"/>
              </w:rPr>
              <w:lastRenderedPageBreak/>
              <w:t xml:space="preserve">объектов наружного освещения муниципального образования городского поселения Советский </w:t>
            </w:r>
          </w:p>
        </w:tc>
        <w:tc>
          <w:tcPr>
            <w:tcW w:w="141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lastRenderedPageBreak/>
              <w:t>Бухгалтерия</w:t>
            </w:r>
          </w:p>
        </w:tc>
        <w:tc>
          <w:tcPr>
            <w:tcW w:w="850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sz w:val="22"/>
                <w:szCs w:val="22"/>
                <w:lang w:eastAsia="zh-CN"/>
              </w:rPr>
              <w:t> Постоянно, в течение года</w:t>
            </w:r>
          </w:p>
        </w:tc>
        <w:tc>
          <w:tcPr>
            <w:tcW w:w="2552" w:type="dxa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Снижение расходов на содержание объектов наружного освещения </w:t>
            </w:r>
            <w:proofErr w:type="spell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г.п</w:t>
            </w:r>
            <w:proofErr w:type="spell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Советский</w:t>
            </w:r>
            <w:proofErr w:type="gramEnd"/>
            <w:r w:rsidRPr="00B0287E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в %, по отношению к предыдущему  году 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val="en-US"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0287E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0</w:t>
            </w:r>
          </w:p>
        </w:tc>
        <w:tc>
          <w:tcPr>
            <w:tcW w:w="91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0</w:t>
            </w:r>
          </w:p>
        </w:tc>
        <w:tc>
          <w:tcPr>
            <w:tcW w:w="876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0</w:t>
            </w:r>
          </w:p>
        </w:tc>
        <w:tc>
          <w:tcPr>
            <w:tcW w:w="761" w:type="dxa"/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lang w:eastAsia="zh-CN"/>
              </w:rPr>
            </w:pPr>
            <w:r w:rsidRPr="00B0287E">
              <w:rPr>
                <w:rFonts w:eastAsia="Times New Roman"/>
                <w:lang w:eastAsia="zh-CN"/>
              </w:rPr>
              <w:t>0</w:t>
            </w:r>
          </w:p>
        </w:tc>
      </w:tr>
    </w:tbl>
    <w:p w:rsidR="00B0287E" w:rsidRPr="00B0287E" w:rsidRDefault="00B0287E" w:rsidP="00B0287E">
      <w:pPr>
        <w:shd w:val="clear" w:color="auto" w:fill="FFFFFF"/>
        <w:tabs>
          <w:tab w:val="left" w:pos="4536"/>
        </w:tabs>
        <w:suppressAutoHyphens/>
        <w:jc w:val="right"/>
        <w:rPr>
          <w:rFonts w:eastAsia="Times New Roman"/>
          <w:lang w:eastAsia="zh-CN"/>
        </w:rPr>
      </w:pPr>
    </w:p>
    <w:tbl>
      <w:tblPr>
        <w:tblW w:w="1516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1418"/>
        <w:gridCol w:w="850"/>
        <w:gridCol w:w="2551"/>
        <w:gridCol w:w="2692"/>
        <w:gridCol w:w="709"/>
        <w:gridCol w:w="708"/>
        <w:gridCol w:w="709"/>
        <w:gridCol w:w="992"/>
        <w:gridCol w:w="851"/>
        <w:gridCol w:w="709"/>
      </w:tblGrid>
      <w:tr w:rsidR="00B0287E" w:rsidRPr="00B0287E" w:rsidTr="00F40DB7">
        <w:trPr>
          <w:trHeight w:val="2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287E" w:rsidRPr="00B0287E" w:rsidRDefault="00B0287E" w:rsidP="00B0287E">
            <w:pPr>
              <w:suppressAutoHyphens/>
              <w:ind w:left="-147" w:right="-99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/>
                <w:bCs/>
                <w:color w:val="000000"/>
              </w:rPr>
              <w:t>Мероприятия по сокращению муниципального долга и расходов на его обслуживание</w:t>
            </w:r>
          </w:p>
        </w:tc>
      </w:tr>
      <w:tr w:rsidR="00B0287E" w:rsidRPr="00B0287E" w:rsidTr="00F40DB7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ind w:left="57" w:right="57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ind w:left="57" w:right="57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ind w:left="57" w:right="5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7E" w:rsidRPr="00B0287E" w:rsidRDefault="00B0287E" w:rsidP="00B0287E">
            <w:pPr>
              <w:suppressAutoHyphens/>
              <w:snapToGrid w:val="0"/>
              <w:ind w:left="57" w:right="5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7E" w:rsidRPr="00B0287E" w:rsidRDefault="00B0287E" w:rsidP="00B0287E">
            <w:pPr>
              <w:suppressAutoHyphens/>
              <w:snapToGrid w:val="0"/>
              <w:ind w:left="57" w:right="57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2022 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>2023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 xml:space="preserve">2024 </w:t>
            </w:r>
          </w:p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bCs/>
                <w:color w:val="000000"/>
              </w:rPr>
              <w:t>год</w:t>
            </w:r>
          </w:p>
        </w:tc>
      </w:tr>
      <w:tr w:rsidR="00B0287E" w:rsidRPr="00B0287E" w:rsidTr="00F40DB7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right="-148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ind w:left="57" w:right="57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ind w:left="57" w:right="57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ind w:left="57" w:right="57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87E" w:rsidRPr="00B0287E" w:rsidRDefault="00B0287E" w:rsidP="00B0287E">
            <w:pPr>
              <w:ind w:left="57" w:right="57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ind w:left="57" w:right="57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28" w:right="28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28" w:right="28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ind w:left="28" w:right="28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0287E">
              <w:rPr>
                <w:rFonts w:eastAsia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snapToGrid w:val="0"/>
              <w:ind w:left="-147" w:right="-99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87E" w:rsidRPr="00B0287E" w:rsidRDefault="00B0287E" w:rsidP="00B0287E">
            <w:pPr>
              <w:suppressAutoHyphens/>
              <w:snapToGrid w:val="0"/>
              <w:ind w:left="-147" w:right="-99"/>
              <w:jc w:val="center"/>
              <w:rPr>
                <w:rFonts w:eastAsia="Times New Roman"/>
                <w:color w:val="000000"/>
              </w:rPr>
            </w:pPr>
            <w:r w:rsidRPr="00B0287E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87E" w:rsidRPr="00B0287E" w:rsidRDefault="00B0287E" w:rsidP="00B0287E">
            <w:pPr>
              <w:suppressAutoHyphens/>
              <w:jc w:val="center"/>
              <w:rPr>
                <w:rFonts w:eastAsia="Times New Roman"/>
                <w:bCs/>
                <w:color w:val="000000"/>
              </w:rPr>
            </w:pPr>
            <w:r w:rsidRPr="00B0287E">
              <w:rPr>
                <w:rFonts w:eastAsia="Times New Roman"/>
                <w:bCs/>
                <w:color w:val="000000"/>
              </w:rPr>
              <w:t>-</w:t>
            </w:r>
          </w:p>
        </w:tc>
      </w:tr>
    </w:tbl>
    <w:p w:rsidR="00B0287E" w:rsidRDefault="00B0287E" w:rsidP="00B0287E">
      <w:pPr>
        <w:pageBreakBefore/>
        <w:shd w:val="clear" w:color="auto" w:fill="FFFFFF"/>
        <w:tabs>
          <w:tab w:val="left" w:pos="4536"/>
        </w:tabs>
        <w:suppressAutoHyphens/>
        <w:rPr>
          <w:rFonts w:eastAsia="Times New Roman"/>
          <w:sz w:val="20"/>
          <w:szCs w:val="20"/>
          <w:lang w:eastAsia="zh-CN"/>
        </w:rPr>
        <w:sectPr w:rsidR="00B0287E" w:rsidSect="00B0287E">
          <w:pgSz w:w="16838" w:h="11906" w:orient="landscape"/>
          <w:pgMar w:top="1135" w:right="992" w:bottom="1701" w:left="1134" w:header="709" w:footer="170" w:gutter="0"/>
          <w:cols w:space="708"/>
          <w:titlePg/>
          <w:docGrid w:linePitch="360"/>
        </w:sectPr>
      </w:pPr>
      <w:bookmarkStart w:id="0" w:name="_GoBack"/>
    </w:p>
    <w:bookmarkEnd w:id="0"/>
    <w:p w:rsidR="00717A4B" w:rsidRPr="00717A4B" w:rsidRDefault="00717A4B" w:rsidP="00B0287E">
      <w:pPr>
        <w:pageBreakBefore/>
        <w:shd w:val="clear" w:color="auto" w:fill="FFFFFF"/>
        <w:tabs>
          <w:tab w:val="left" w:pos="4536"/>
        </w:tabs>
        <w:suppressAutoHyphens/>
        <w:rPr>
          <w:rFonts w:eastAsia="Times New Roman"/>
          <w:bCs/>
          <w:kern w:val="36"/>
        </w:rPr>
      </w:pPr>
    </w:p>
    <w:sectPr w:rsidR="00717A4B" w:rsidRPr="00717A4B" w:rsidSect="002175E5">
      <w:footerReference w:type="default" r:id="rId10"/>
      <w:pgSz w:w="16838" w:h="11906" w:orient="landscape"/>
      <w:pgMar w:top="1701" w:right="1134" w:bottom="707" w:left="993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A0" w:rsidRDefault="003A6BA0" w:rsidP="00C5282B">
      <w:r>
        <w:separator/>
      </w:r>
    </w:p>
  </w:endnote>
  <w:endnote w:type="continuationSeparator" w:id="0">
    <w:p w:rsidR="003A6BA0" w:rsidRDefault="003A6BA0" w:rsidP="00C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35205"/>
      <w:docPartObj>
        <w:docPartGallery w:val="Page Numbers (Bottom of Page)"/>
        <w:docPartUnique/>
      </w:docPartObj>
    </w:sdtPr>
    <w:sdtEndPr/>
    <w:sdtContent>
      <w:p w:rsidR="00F5316D" w:rsidRDefault="00F5316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E5" w:rsidRPr="002175E5">
          <w:rPr>
            <w:noProof/>
            <w:lang w:val="ru-RU"/>
          </w:rPr>
          <w:t>6</w:t>
        </w:r>
        <w:r>
          <w:fldChar w:fldCharType="end"/>
        </w:r>
      </w:p>
    </w:sdtContent>
  </w:sdt>
  <w:p w:rsidR="00B62264" w:rsidRDefault="00B6226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03978"/>
      <w:docPartObj>
        <w:docPartGallery w:val="Page Numbers (Bottom of Page)"/>
        <w:docPartUnique/>
      </w:docPartObj>
    </w:sdtPr>
    <w:sdtEndPr/>
    <w:sdtContent>
      <w:p w:rsidR="00B0287E" w:rsidRDefault="00B028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E5" w:rsidRPr="002175E5">
          <w:rPr>
            <w:noProof/>
            <w:lang w:val="ru-RU"/>
          </w:rPr>
          <w:t>7</w:t>
        </w:r>
        <w:r>
          <w:fldChar w:fldCharType="end"/>
        </w:r>
      </w:p>
    </w:sdtContent>
  </w:sdt>
  <w:p w:rsidR="00B0287E" w:rsidRDefault="00B028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A0" w:rsidRDefault="003A6BA0" w:rsidP="00C5282B">
      <w:r>
        <w:separator/>
      </w:r>
    </w:p>
  </w:footnote>
  <w:footnote w:type="continuationSeparator" w:id="0">
    <w:p w:rsidR="003A6BA0" w:rsidRDefault="003A6BA0" w:rsidP="00C5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16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7CC57B9"/>
    <w:multiLevelType w:val="hybridMultilevel"/>
    <w:tmpl w:val="F6F82C16"/>
    <w:lvl w:ilvl="0" w:tplc="90B4F03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BFC77F9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-643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126A3243"/>
    <w:multiLevelType w:val="hybridMultilevel"/>
    <w:tmpl w:val="DBB8AFE6"/>
    <w:lvl w:ilvl="0" w:tplc="5656AB8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49C64DC"/>
    <w:multiLevelType w:val="hybridMultilevel"/>
    <w:tmpl w:val="D02E0584"/>
    <w:lvl w:ilvl="0" w:tplc="F66C207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D21097"/>
    <w:multiLevelType w:val="hybridMultilevel"/>
    <w:tmpl w:val="2990E384"/>
    <w:lvl w:ilvl="0" w:tplc="7A069A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F8A1F71"/>
    <w:multiLevelType w:val="hybridMultilevel"/>
    <w:tmpl w:val="E45E8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71F34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02805"/>
    <w:multiLevelType w:val="hybridMultilevel"/>
    <w:tmpl w:val="277AC754"/>
    <w:lvl w:ilvl="0" w:tplc="1D3025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03406AE"/>
    <w:multiLevelType w:val="multilevel"/>
    <w:tmpl w:val="EFB6D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36F35463"/>
    <w:multiLevelType w:val="hybridMultilevel"/>
    <w:tmpl w:val="DCD8FA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B26ED7"/>
    <w:multiLevelType w:val="multilevel"/>
    <w:tmpl w:val="2EA27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DA363C5"/>
    <w:multiLevelType w:val="hybridMultilevel"/>
    <w:tmpl w:val="9E8AA7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418A7C5E"/>
    <w:multiLevelType w:val="hybridMultilevel"/>
    <w:tmpl w:val="DCD8FA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6420C4B"/>
    <w:multiLevelType w:val="hybridMultilevel"/>
    <w:tmpl w:val="803E5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E94FF0"/>
    <w:multiLevelType w:val="hybridMultilevel"/>
    <w:tmpl w:val="17AC9900"/>
    <w:lvl w:ilvl="0" w:tplc="7E96D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8E75EE"/>
    <w:multiLevelType w:val="hybridMultilevel"/>
    <w:tmpl w:val="57C0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34AC4"/>
    <w:multiLevelType w:val="hybridMultilevel"/>
    <w:tmpl w:val="1BA8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15ECB"/>
    <w:multiLevelType w:val="hybridMultilevel"/>
    <w:tmpl w:val="9C8C1594"/>
    <w:lvl w:ilvl="0" w:tplc="88162B96">
      <w:start w:val="1"/>
      <w:numFmt w:val="decimal"/>
      <w:lvlText w:val="%1."/>
      <w:lvlJc w:val="left"/>
      <w:pPr>
        <w:ind w:left="394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7E83316"/>
    <w:multiLevelType w:val="hybridMultilevel"/>
    <w:tmpl w:val="04B61D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8BE2DAA"/>
    <w:multiLevelType w:val="hybridMultilevel"/>
    <w:tmpl w:val="2A48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C6A30"/>
    <w:multiLevelType w:val="multilevel"/>
    <w:tmpl w:val="9AB6A4CC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6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25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8E10EF"/>
    <w:multiLevelType w:val="multilevel"/>
    <w:tmpl w:val="A9D26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color w:val="000000"/>
        <w:sz w:val="24"/>
      </w:rPr>
    </w:lvl>
  </w:abstractNum>
  <w:abstractNum w:abstractNumId="27">
    <w:nsid w:val="6BBF4A1C"/>
    <w:multiLevelType w:val="hybridMultilevel"/>
    <w:tmpl w:val="DACA277C"/>
    <w:lvl w:ilvl="0" w:tplc="6E82DDB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8">
    <w:nsid w:val="6BF56D38"/>
    <w:multiLevelType w:val="hybridMultilevel"/>
    <w:tmpl w:val="6A82858C"/>
    <w:lvl w:ilvl="0" w:tplc="CB30AE1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27186E"/>
    <w:multiLevelType w:val="hybridMultilevel"/>
    <w:tmpl w:val="DA36ECB4"/>
    <w:lvl w:ilvl="0" w:tplc="8C44756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F471D1"/>
    <w:multiLevelType w:val="hybridMultilevel"/>
    <w:tmpl w:val="6BE82200"/>
    <w:lvl w:ilvl="0" w:tplc="7E96D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4C0DEC"/>
    <w:multiLevelType w:val="hybridMultilevel"/>
    <w:tmpl w:val="5BCC092C"/>
    <w:lvl w:ilvl="0" w:tplc="CA5E15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25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7"/>
  </w:num>
  <w:num w:numId="19">
    <w:abstractNumId w:val="3"/>
  </w:num>
  <w:num w:numId="20">
    <w:abstractNumId w:val="14"/>
  </w:num>
  <w:num w:numId="21">
    <w:abstractNumId w:val="0"/>
  </w:num>
  <w:num w:numId="22">
    <w:abstractNumId w:val="4"/>
  </w:num>
  <w:num w:numId="23">
    <w:abstractNumId w:val="11"/>
  </w:num>
  <w:num w:numId="24">
    <w:abstractNumId w:val="26"/>
  </w:num>
  <w:num w:numId="25">
    <w:abstractNumId w:val="17"/>
  </w:num>
  <w:num w:numId="26">
    <w:abstractNumId w:val="28"/>
  </w:num>
  <w:num w:numId="27">
    <w:abstractNumId w:val="8"/>
  </w:num>
  <w:num w:numId="28">
    <w:abstractNumId w:val="5"/>
  </w:num>
  <w:num w:numId="29">
    <w:abstractNumId w:val="23"/>
  </w:num>
  <w:num w:numId="30">
    <w:abstractNumId w:val="7"/>
  </w:num>
  <w:num w:numId="31">
    <w:abstractNumId w:val="18"/>
  </w:num>
  <w:num w:numId="32">
    <w:abstractNumId w:val="30"/>
  </w:num>
  <w:num w:numId="33">
    <w:abstractNumId w:val="31"/>
  </w:num>
  <w:num w:numId="34">
    <w:abstractNumId w:val="16"/>
  </w:num>
  <w:num w:numId="35">
    <w:abstractNumId w:val="12"/>
  </w:num>
  <w:num w:numId="36">
    <w:abstractNumId w:val="20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1"/>
    <w:rsid w:val="00176840"/>
    <w:rsid w:val="001B63A3"/>
    <w:rsid w:val="002175E5"/>
    <w:rsid w:val="002432D6"/>
    <w:rsid w:val="00251E85"/>
    <w:rsid w:val="002F2F1E"/>
    <w:rsid w:val="003617E2"/>
    <w:rsid w:val="003A0927"/>
    <w:rsid w:val="003A6BA0"/>
    <w:rsid w:val="003D140E"/>
    <w:rsid w:val="003D663C"/>
    <w:rsid w:val="0042481F"/>
    <w:rsid w:val="00544EBD"/>
    <w:rsid w:val="006C73AA"/>
    <w:rsid w:val="006F0E39"/>
    <w:rsid w:val="00717A4B"/>
    <w:rsid w:val="007E3AFF"/>
    <w:rsid w:val="00810DC4"/>
    <w:rsid w:val="008C7430"/>
    <w:rsid w:val="008F3FFB"/>
    <w:rsid w:val="009D056E"/>
    <w:rsid w:val="009F46E9"/>
    <w:rsid w:val="009F6F84"/>
    <w:rsid w:val="00AF4B7B"/>
    <w:rsid w:val="00AF6955"/>
    <w:rsid w:val="00B0287E"/>
    <w:rsid w:val="00B401EA"/>
    <w:rsid w:val="00B448CE"/>
    <w:rsid w:val="00B62264"/>
    <w:rsid w:val="00C06918"/>
    <w:rsid w:val="00C352A7"/>
    <w:rsid w:val="00C52735"/>
    <w:rsid w:val="00C5282B"/>
    <w:rsid w:val="00CB5A21"/>
    <w:rsid w:val="00CD6932"/>
    <w:rsid w:val="00E71EA7"/>
    <w:rsid w:val="00E7639F"/>
    <w:rsid w:val="00E84C51"/>
    <w:rsid w:val="00E915C0"/>
    <w:rsid w:val="00F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table" w:customStyle="1" w:styleId="17">
    <w:name w:val="Сетка таблицы1"/>
    <w:basedOn w:val="a1"/>
    <w:next w:val="aff2"/>
    <w:uiPriority w:val="59"/>
    <w:rsid w:val="0071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table" w:customStyle="1" w:styleId="17">
    <w:name w:val="Сетка таблицы1"/>
    <w:basedOn w:val="a1"/>
    <w:next w:val="aff2"/>
    <w:uiPriority w:val="59"/>
    <w:rsid w:val="0071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16</cp:revision>
  <cp:lastPrinted>2022-04-11T05:40:00Z</cp:lastPrinted>
  <dcterms:created xsi:type="dcterms:W3CDTF">2022-03-24T10:45:00Z</dcterms:created>
  <dcterms:modified xsi:type="dcterms:W3CDTF">2022-04-13T07:15:00Z</dcterms:modified>
</cp:coreProperties>
</file>